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1341" w14:textId="77777777" w:rsidR="00312FC6" w:rsidRPr="004C4F6D" w:rsidRDefault="003919DE" w:rsidP="004C4F6D">
      <w:pPr>
        <w:pStyle w:val="Heading3"/>
        <w:numPr>
          <w:ilvl w:val="0"/>
          <w:numId w:val="0"/>
        </w:numPr>
        <w:ind w:left="720"/>
        <w:jc w:val="center"/>
        <w:rPr>
          <w:rFonts w:cs="Arial"/>
          <w:b/>
          <w:sz w:val="22"/>
          <w:szCs w:val="22"/>
          <w:u w:val="none"/>
        </w:rPr>
      </w:pPr>
      <w:r w:rsidRPr="004C4F6D">
        <w:rPr>
          <w:rFonts w:cs="Arial"/>
          <w:b/>
          <w:sz w:val="22"/>
          <w:szCs w:val="22"/>
          <w:u w:val="none"/>
        </w:rPr>
        <w:t>OBSERVATIONS AND RECOMMENDATIONS</w:t>
      </w:r>
    </w:p>
    <w:p w14:paraId="7E6A5829" w14:textId="77777777" w:rsidR="00312FC6" w:rsidRPr="004C4F6D" w:rsidRDefault="00312FC6" w:rsidP="004C4F6D">
      <w:pPr>
        <w:spacing w:after="0" w:line="240" w:lineRule="auto"/>
        <w:rPr>
          <w:rFonts w:ascii="Arial" w:hAnsi="Arial" w:cs="Arial"/>
        </w:rPr>
      </w:pPr>
    </w:p>
    <w:p w14:paraId="50C51BE6" w14:textId="77777777" w:rsidR="00312FC6" w:rsidRPr="004C4F6D" w:rsidRDefault="00312FC6" w:rsidP="004C4F6D">
      <w:pPr>
        <w:spacing w:after="0" w:line="240" w:lineRule="auto"/>
        <w:rPr>
          <w:rFonts w:ascii="Arial" w:hAnsi="Arial" w:cs="Arial"/>
        </w:rPr>
      </w:pPr>
    </w:p>
    <w:p w14:paraId="34CC1BE6" w14:textId="77777777" w:rsidR="00312FC6" w:rsidRPr="004C4F6D" w:rsidRDefault="003919DE" w:rsidP="004C4F6D">
      <w:pPr>
        <w:pStyle w:val="ListParagraph"/>
        <w:numPr>
          <w:ilvl w:val="0"/>
          <w:numId w:val="3"/>
        </w:numPr>
        <w:spacing w:after="0" w:line="240" w:lineRule="auto"/>
        <w:ind w:left="720" w:hanging="720"/>
        <w:rPr>
          <w:rFonts w:ascii="Arial" w:eastAsia="Times New Roman" w:hAnsi="Arial" w:cs="Arial"/>
          <w:b/>
          <w:lang w:val="en-US"/>
        </w:rPr>
      </w:pPr>
      <w:r w:rsidRPr="004C4F6D">
        <w:rPr>
          <w:rFonts w:ascii="Arial" w:eastAsia="Times New Roman" w:hAnsi="Arial" w:cs="Arial"/>
          <w:b/>
          <w:lang w:val="en-US"/>
        </w:rPr>
        <w:t>FINANCIAL ISSUES</w:t>
      </w:r>
    </w:p>
    <w:p w14:paraId="15571C20" w14:textId="77777777" w:rsidR="00312FC6" w:rsidRPr="004C4F6D" w:rsidRDefault="00312FC6" w:rsidP="004C4F6D">
      <w:pPr>
        <w:pStyle w:val="ListParagraph"/>
        <w:spacing w:after="0" w:line="240" w:lineRule="auto"/>
        <w:rPr>
          <w:rFonts w:ascii="Arial" w:eastAsia="Times New Roman" w:hAnsi="Arial" w:cs="Arial"/>
          <w:b/>
          <w:lang w:val="en-US"/>
        </w:rPr>
      </w:pPr>
    </w:p>
    <w:p w14:paraId="3B119F18" w14:textId="36AAC47B" w:rsidR="00FA0A7C" w:rsidRPr="004C4F6D" w:rsidRDefault="00FA0A7C" w:rsidP="004C4F6D">
      <w:pPr>
        <w:numPr>
          <w:ilvl w:val="0"/>
          <w:numId w:val="4"/>
        </w:numPr>
        <w:spacing w:after="0" w:line="240" w:lineRule="auto"/>
        <w:ind w:left="0" w:firstLine="0"/>
        <w:jc w:val="both"/>
        <w:rPr>
          <w:rFonts w:ascii="Arial" w:eastAsia="Times New Roman" w:hAnsi="Arial" w:cs="Arial"/>
          <w:bCs/>
        </w:rPr>
      </w:pPr>
      <w:r w:rsidRPr="004C4F6D">
        <w:rPr>
          <w:rFonts w:ascii="Arial" w:eastAsia="Arial Narrow" w:hAnsi="Arial" w:cs="Arial"/>
          <w:b/>
        </w:rPr>
        <w:t>Unreconciled intragroup</w:t>
      </w:r>
      <w:r w:rsidRPr="004C4F6D">
        <w:rPr>
          <w:rFonts w:ascii="Arial" w:eastAsia="Arial Narrow" w:hAnsi="Arial" w:cs="Arial"/>
          <w:b/>
          <w:color w:val="000000"/>
        </w:rPr>
        <w:t xml:space="preserve"> receivable and payable accounts, amounting to P7.069 million and P70.346 million, respectively, were not fully eliminated in the Bank’s consolidated financial statements as at December 31, 2022, contrary to paragraph 10 of PAS 1 and Item c of paragraph B86 of the Application Guidance of the </w:t>
      </w:r>
      <w:r w:rsidR="006460E1">
        <w:rPr>
          <w:rFonts w:ascii="Arial" w:eastAsia="Arial Narrow" w:hAnsi="Arial" w:cs="Arial"/>
          <w:b/>
          <w:color w:val="000000"/>
        </w:rPr>
        <w:t>PFRS 10;</w:t>
      </w:r>
      <w:r w:rsidRPr="004C4F6D">
        <w:rPr>
          <w:rFonts w:ascii="Arial" w:eastAsia="Arial Narrow" w:hAnsi="Arial" w:cs="Arial"/>
          <w:b/>
          <w:color w:val="000000"/>
        </w:rPr>
        <w:t xml:space="preserve"> thus affecting the fair presentation of the balances of accounts in the financial statements</w:t>
      </w:r>
      <w:r w:rsidRPr="004C4F6D">
        <w:rPr>
          <w:rFonts w:ascii="Arial" w:eastAsia="Times New Roman" w:hAnsi="Arial" w:cs="Arial"/>
          <w:b/>
        </w:rPr>
        <w:t>.</w:t>
      </w:r>
    </w:p>
    <w:p w14:paraId="2E112287" w14:textId="77777777" w:rsidR="00FA0A7C" w:rsidRPr="004C4F6D" w:rsidRDefault="00FA0A7C" w:rsidP="004C4F6D">
      <w:pPr>
        <w:spacing w:after="0" w:line="240" w:lineRule="auto"/>
        <w:jc w:val="both"/>
        <w:rPr>
          <w:rFonts w:ascii="Arial" w:eastAsia="Times New Roman" w:hAnsi="Arial" w:cs="Arial"/>
          <w:bCs/>
        </w:rPr>
      </w:pPr>
    </w:p>
    <w:p w14:paraId="62666178" w14:textId="77777777" w:rsidR="00FA0A7C" w:rsidRPr="004C4F6D" w:rsidRDefault="00FA0A7C" w:rsidP="004C4F6D">
      <w:pPr>
        <w:pStyle w:val="ListParagraph"/>
        <w:numPr>
          <w:ilvl w:val="1"/>
          <w:numId w:val="4"/>
        </w:numPr>
        <w:autoSpaceDE w:val="0"/>
        <w:autoSpaceDN w:val="0"/>
        <w:adjustRightInd w:val="0"/>
        <w:spacing w:after="0" w:line="240" w:lineRule="auto"/>
        <w:ind w:left="0" w:firstLine="0"/>
        <w:jc w:val="both"/>
        <w:rPr>
          <w:rFonts w:ascii="Arial" w:eastAsia="Times New Roman" w:hAnsi="Arial" w:cs="Arial"/>
          <w:bCs/>
        </w:rPr>
      </w:pPr>
      <w:r w:rsidRPr="004C4F6D">
        <w:rPr>
          <w:rFonts w:ascii="Arial" w:eastAsia="Arial Narrow" w:hAnsi="Arial" w:cs="Arial"/>
        </w:rPr>
        <w:t>Paragraph</w:t>
      </w:r>
      <w:r w:rsidRPr="004C4F6D">
        <w:rPr>
          <w:rFonts w:ascii="Arial" w:eastAsia="Arial Narrow" w:hAnsi="Arial" w:cs="Arial"/>
          <w:color w:val="000000"/>
        </w:rPr>
        <w:t xml:space="preserve"> 15 of Philippine Accounting Standards 1 provides that:</w:t>
      </w:r>
    </w:p>
    <w:p w14:paraId="0CB61CED" w14:textId="77777777" w:rsidR="00FA0A7C" w:rsidRPr="004C4F6D" w:rsidRDefault="00FA0A7C" w:rsidP="004C4F6D">
      <w:pPr>
        <w:pStyle w:val="ListParagraph"/>
        <w:spacing w:after="0" w:line="240" w:lineRule="auto"/>
        <w:ind w:left="0"/>
        <w:jc w:val="both"/>
        <w:rPr>
          <w:rFonts w:ascii="Arial" w:eastAsia="Arial Narrow" w:hAnsi="Arial" w:cs="Arial"/>
          <w:color w:val="000000"/>
        </w:rPr>
      </w:pPr>
    </w:p>
    <w:p w14:paraId="41806BE4" w14:textId="77777777" w:rsidR="00FA0A7C" w:rsidRPr="004C4F6D" w:rsidRDefault="00FA0A7C" w:rsidP="004C4F6D">
      <w:pPr>
        <w:spacing w:after="0" w:line="240" w:lineRule="auto"/>
        <w:ind w:left="1134" w:right="716"/>
        <w:jc w:val="both"/>
        <w:rPr>
          <w:rFonts w:ascii="Arial" w:eastAsia="Arial Narrow" w:hAnsi="Arial" w:cs="Arial"/>
        </w:rPr>
      </w:pPr>
      <w:r w:rsidRPr="004C4F6D">
        <w:rPr>
          <w:rFonts w:ascii="Arial" w:eastAsia="Arial Narrow" w:hAnsi="Arial" w:cs="Arial"/>
          <w:i/>
          <w:color w:val="000000"/>
        </w:rPr>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w:t>
      </w:r>
      <w:r w:rsidRPr="006460E1">
        <w:rPr>
          <w:rFonts w:ascii="Arial" w:eastAsia="Arial Narrow" w:hAnsi="Arial" w:cs="Arial"/>
          <w:i/>
          <w:color w:val="000000"/>
        </w:rPr>
        <w:t xml:space="preserve">assets, liabilities, </w:t>
      </w:r>
      <w:r w:rsidRPr="006460E1">
        <w:rPr>
          <w:rFonts w:ascii="Arial" w:eastAsia="Arial Narrow" w:hAnsi="Arial" w:cs="Arial"/>
          <w:i/>
        </w:rPr>
        <w:t>income and expense set out in the Framework.</w:t>
      </w:r>
    </w:p>
    <w:p w14:paraId="76B7E1B7" w14:textId="77777777" w:rsidR="00FA0A7C" w:rsidRPr="004C4F6D" w:rsidRDefault="00FA0A7C" w:rsidP="004C4F6D">
      <w:pPr>
        <w:spacing w:after="0" w:line="240" w:lineRule="auto"/>
        <w:ind w:left="709" w:right="716"/>
        <w:jc w:val="both"/>
        <w:rPr>
          <w:rFonts w:ascii="Arial" w:eastAsia="Arial Narrow" w:hAnsi="Arial" w:cs="Arial"/>
        </w:rPr>
      </w:pPr>
    </w:p>
    <w:p w14:paraId="075B2C29" w14:textId="77777777" w:rsidR="00FA0A7C" w:rsidRPr="004C4F6D" w:rsidRDefault="00FA0A7C" w:rsidP="004C4F6D">
      <w:pPr>
        <w:pStyle w:val="ListParagraph"/>
        <w:numPr>
          <w:ilvl w:val="1"/>
          <w:numId w:val="4"/>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00000"/>
        </w:rPr>
        <w:t>Item c of paragraph B86 of the Application Guidance of the Philippine Financial Reporting Standard (PFRS) 10, on c</w:t>
      </w:r>
      <w:r w:rsidRPr="004C4F6D">
        <w:rPr>
          <w:rFonts w:ascii="Arial" w:hAnsi="Arial" w:cs="Arial"/>
        </w:rPr>
        <w:t>onsolidated financial statements, provides:</w:t>
      </w:r>
    </w:p>
    <w:p w14:paraId="4FB9CBFA" w14:textId="77777777" w:rsidR="00FA0A7C" w:rsidRPr="004C4F6D" w:rsidRDefault="00FA0A7C" w:rsidP="004C4F6D">
      <w:pPr>
        <w:pStyle w:val="ListParagraph"/>
        <w:autoSpaceDE w:val="0"/>
        <w:autoSpaceDN w:val="0"/>
        <w:adjustRightInd w:val="0"/>
        <w:spacing w:after="0" w:line="240" w:lineRule="auto"/>
        <w:ind w:left="0"/>
        <w:jc w:val="both"/>
        <w:rPr>
          <w:rFonts w:ascii="Arial" w:hAnsi="Arial" w:cs="Arial"/>
        </w:rPr>
      </w:pPr>
    </w:p>
    <w:p w14:paraId="25D320AC" w14:textId="77777777" w:rsidR="00FA0A7C" w:rsidRPr="004C4F6D" w:rsidRDefault="00FA0A7C" w:rsidP="004C4F6D">
      <w:pPr>
        <w:spacing w:after="0" w:line="240" w:lineRule="auto"/>
        <w:ind w:left="1134" w:right="716"/>
        <w:jc w:val="both"/>
      </w:pPr>
      <w:r w:rsidRPr="004C4F6D">
        <w:rPr>
          <w:rFonts w:ascii="Arial" w:eastAsia="Arial Narrow" w:hAnsi="Arial" w:cs="Arial"/>
          <w:i/>
          <w:color w:val="000000"/>
        </w:rPr>
        <w:t>Eliminate in full intragroup assets and liabilities, equity, income, expenses and cash flows relating to transactions between entities of the group (profits or losses resulting from intragroup transactions that are recognised in assets, such as inventory and fixed assets, are eliminated in full). x x x</w:t>
      </w:r>
    </w:p>
    <w:p w14:paraId="2F991AB6" w14:textId="77777777" w:rsidR="00FA0A7C" w:rsidRPr="004C4F6D" w:rsidRDefault="00FA0A7C" w:rsidP="004C4F6D">
      <w:pPr>
        <w:pStyle w:val="ListParagraph"/>
        <w:autoSpaceDE w:val="0"/>
        <w:autoSpaceDN w:val="0"/>
        <w:adjustRightInd w:val="0"/>
        <w:spacing w:after="0" w:line="240" w:lineRule="auto"/>
        <w:ind w:left="0"/>
        <w:jc w:val="both"/>
        <w:rPr>
          <w:rFonts w:ascii="Arial" w:eastAsia="Arial Narrow" w:hAnsi="Arial" w:cs="Arial"/>
          <w:i/>
          <w:color w:val="000000"/>
        </w:rPr>
      </w:pPr>
    </w:p>
    <w:p w14:paraId="1FA282C0" w14:textId="351160F6" w:rsidR="00FA0A7C" w:rsidRPr="004C4F6D" w:rsidRDefault="00FA0A7C"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i/>
          <w:color w:val="000000"/>
        </w:rPr>
      </w:pPr>
      <w:r w:rsidRPr="004C4F6D">
        <w:rPr>
          <w:rFonts w:ascii="Arial" w:eastAsia="Arial Narrow" w:hAnsi="Arial" w:cs="Arial"/>
          <w:color w:val="000000"/>
        </w:rPr>
        <w:t>The intragroup assets consist of Accounts Receivable (AR), Accrued Interest Receivable, Miscellaneous Asset-Others, Contracts Receivable (CR), Retention Receivable (RR) and Loans/Lease Receivable, while the intragroup liabilities consist of Accounts Payable (A/P), Accrued &amp; Other Expense Payable (AOEP), Finance Lease Payable, Deposit on Lease Contr</w:t>
      </w:r>
      <w:r w:rsidR="00D23822">
        <w:rPr>
          <w:rFonts w:ascii="Arial" w:eastAsia="Arial Narrow" w:hAnsi="Arial" w:cs="Arial"/>
          <w:color w:val="000000"/>
        </w:rPr>
        <w:t>acts, Miscellaneous Liabilities</w:t>
      </w:r>
      <w:r w:rsidRPr="004C4F6D">
        <w:rPr>
          <w:rFonts w:ascii="Arial" w:eastAsia="Arial Narrow" w:hAnsi="Arial" w:cs="Arial"/>
          <w:color w:val="000000"/>
        </w:rPr>
        <w:t>, Bills Payable, Accrued Interest Payable, Other Deposits, Advances from Clients, and Retention Payable in either LBP or subsidiaries’ books of accounts.</w:t>
      </w:r>
    </w:p>
    <w:p w14:paraId="387EAFEE" w14:textId="77777777" w:rsidR="00FA0A7C" w:rsidRPr="004C4F6D" w:rsidRDefault="00FA0A7C" w:rsidP="004C4F6D">
      <w:pPr>
        <w:pStyle w:val="ListParagraph"/>
        <w:autoSpaceDE w:val="0"/>
        <w:autoSpaceDN w:val="0"/>
        <w:adjustRightInd w:val="0"/>
        <w:spacing w:after="0" w:line="240" w:lineRule="auto"/>
        <w:ind w:left="0"/>
        <w:jc w:val="both"/>
        <w:rPr>
          <w:rFonts w:ascii="Arial" w:eastAsia="Arial Narrow" w:hAnsi="Arial" w:cs="Arial"/>
          <w:i/>
          <w:color w:val="000000"/>
        </w:rPr>
      </w:pPr>
    </w:p>
    <w:p w14:paraId="6F300F6E" w14:textId="77777777" w:rsidR="00FA0A7C" w:rsidRPr="004C4F6D" w:rsidRDefault="00FA0A7C"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i/>
          <w:color w:val="000000"/>
        </w:rPr>
      </w:pPr>
      <w:r w:rsidRPr="004C4F6D">
        <w:rPr>
          <w:rFonts w:ascii="Arial" w:eastAsia="Arial Narrow" w:hAnsi="Arial" w:cs="Arial"/>
          <w:color w:val="000000" w:themeColor="text1"/>
        </w:rPr>
        <w:t>In the preparation of consolidated financial statements (FS), the balance of each account of the LBP and its subsidiaries are summed up line by line and thereafter the account balances and transactions are eliminated to come up with the consolidated FS of the LBP Group.</w:t>
      </w:r>
    </w:p>
    <w:p w14:paraId="21CCE43A" w14:textId="77777777" w:rsidR="00FA0A7C" w:rsidRPr="004C4F6D" w:rsidRDefault="00FA0A7C" w:rsidP="004C4F6D">
      <w:pPr>
        <w:pStyle w:val="ListParagraph"/>
        <w:spacing w:after="0" w:line="240" w:lineRule="auto"/>
        <w:rPr>
          <w:rFonts w:ascii="Arial" w:eastAsia="Arial Narrow" w:hAnsi="Arial" w:cs="Arial"/>
          <w:i/>
          <w:color w:val="000000"/>
        </w:rPr>
      </w:pPr>
    </w:p>
    <w:p w14:paraId="4C5C42E3" w14:textId="77777777" w:rsidR="00FA0A7C" w:rsidRPr="004C4F6D" w:rsidRDefault="00FA0A7C"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i/>
          <w:color w:val="000000"/>
        </w:rPr>
      </w:pPr>
      <w:r w:rsidRPr="004C4F6D">
        <w:rPr>
          <w:rFonts w:ascii="Arial" w:eastAsia="Arial Narrow" w:hAnsi="Arial" w:cs="Arial"/>
          <w:color w:val="000000"/>
        </w:rPr>
        <w:t xml:space="preserve">Verification of the balances of receivables and payables from/to subsidiaries in the LBP books against the corresponding payables and receivables to/from LPB in subsidiaries books disclosed unreconciled variances amounting to </w:t>
      </w:r>
      <w:r w:rsidRPr="004C4F6D">
        <w:rPr>
          <w:rFonts w:ascii="Arial" w:eastAsia="Arial Narrow" w:hAnsi="Arial" w:cs="Arial"/>
        </w:rPr>
        <w:t>P7,069,412.26 receivables from and P70,345,520.68 payables to subsidiaries</w:t>
      </w:r>
      <w:r w:rsidRPr="004C4F6D">
        <w:rPr>
          <w:rFonts w:ascii="Arial" w:eastAsia="Arial Narrow" w:hAnsi="Arial" w:cs="Arial"/>
          <w:color w:val="000000"/>
        </w:rPr>
        <w:t>, respectively, which were not fully eliminated in the consolidated FS as at December 31, 2022. Details as follows:</w:t>
      </w:r>
    </w:p>
    <w:p w14:paraId="0A7ED2B0" w14:textId="77777777" w:rsidR="00FA0A7C" w:rsidRPr="004C4F6D" w:rsidRDefault="00FA0A7C" w:rsidP="004C4F6D">
      <w:pPr>
        <w:pStyle w:val="ListParagraph"/>
        <w:rPr>
          <w:rFonts w:ascii="Arial" w:eastAsia="Arial Narrow" w:hAnsi="Arial" w:cs="Arial"/>
          <w:i/>
          <w:color w:val="000000"/>
        </w:rPr>
      </w:pPr>
    </w:p>
    <w:tbl>
      <w:tblPr>
        <w:tblW w:w="8847" w:type="dxa"/>
        <w:tblLayout w:type="fixed"/>
        <w:tblLook w:val="04A0" w:firstRow="1" w:lastRow="0" w:firstColumn="1" w:lastColumn="0" w:noHBand="0" w:noVBand="1"/>
      </w:tblPr>
      <w:tblGrid>
        <w:gridCol w:w="400"/>
        <w:gridCol w:w="1239"/>
        <w:gridCol w:w="1946"/>
        <w:gridCol w:w="1946"/>
        <w:gridCol w:w="1701"/>
        <w:gridCol w:w="1615"/>
      </w:tblGrid>
      <w:tr w:rsidR="00FA0A7C" w:rsidRPr="004C4F6D" w14:paraId="02805493" w14:textId="77777777" w:rsidTr="002F1504">
        <w:trPr>
          <w:trHeight w:hRule="exact" w:val="663"/>
        </w:trPr>
        <w:tc>
          <w:tcPr>
            <w:tcW w:w="400" w:type="dxa"/>
            <w:tcBorders>
              <w:top w:val="single" w:sz="4" w:space="0" w:color="auto"/>
              <w:bottom w:val="single" w:sz="4" w:space="0" w:color="auto"/>
            </w:tcBorders>
            <w:vAlign w:val="center"/>
          </w:tcPr>
          <w:p w14:paraId="3E6563B5" w14:textId="77777777" w:rsidR="00FA0A7C" w:rsidRPr="004C4F6D" w:rsidRDefault="00FA0A7C" w:rsidP="004C4F6D">
            <w:pPr>
              <w:spacing w:after="0" w:line="240" w:lineRule="auto"/>
              <w:ind w:right="140"/>
              <w:jc w:val="center"/>
              <w:rPr>
                <w:rFonts w:ascii="Arial" w:eastAsia="Arial Narrow" w:hAnsi="Arial" w:cs="Arial"/>
                <w:sz w:val="18"/>
                <w:szCs w:val="18"/>
              </w:rPr>
            </w:pPr>
            <w:r w:rsidRPr="004C4F6D">
              <w:rPr>
                <w:rFonts w:ascii="Arial" w:eastAsia="Arial Narrow" w:hAnsi="Arial" w:cs="Arial"/>
                <w:sz w:val="18"/>
                <w:szCs w:val="18"/>
              </w:rPr>
              <w:lastRenderedPageBreak/>
              <w:t> </w:t>
            </w:r>
          </w:p>
        </w:tc>
        <w:tc>
          <w:tcPr>
            <w:tcW w:w="1239" w:type="dxa"/>
            <w:tcBorders>
              <w:top w:val="single" w:sz="4" w:space="0" w:color="auto"/>
              <w:bottom w:val="single" w:sz="4" w:space="0" w:color="auto"/>
            </w:tcBorders>
            <w:vAlign w:val="center"/>
          </w:tcPr>
          <w:p w14:paraId="52AEF251" w14:textId="77777777" w:rsidR="00FA0A7C" w:rsidRPr="004C4F6D" w:rsidRDefault="00FA0A7C" w:rsidP="004C4F6D">
            <w:pPr>
              <w:spacing w:after="0" w:line="240" w:lineRule="auto"/>
              <w:ind w:right="-100"/>
              <w:jc w:val="both"/>
              <w:rPr>
                <w:rFonts w:ascii="Arial" w:eastAsia="Arial Narrow" w:hAnsi="Arial" w:cs="Arial"/>
                <w:sz w:val="18"/>
                <w:szCs w:val="18"/>
              </w:rPr>
            </w:pPr>
            <w:r w:rsidRPr="004C4F6D">
              <w:rPr>
                <w:rFonts w:ascii="Arial" w:eastAsia="Arial Narrow" w:hAnsi="Arial" w:cs="Arial"/>
                <w:b/>
                <w:sz w:val="18"/>
                <w:szCs w:val="18"/>
              </w:rPr>
              <w:t>Subsidiaries</w:t>
            </w:r>
          </w:p>
        </w:tc>
        <w:tc>
          <w:tcPr>
            <w:tcW w:w="1946" w:type="dxa"/>
            <w:tcBorders>
              <w:top w:val="single" w:sz="4" w:space="0" w:color="auto"/>
              <w:bottom w:val="single" w:sz="4" w:space="0" w:color="auto"/>
            </w:tcBorders>
            <w:vAlign w:val="center"/>
          </w:tcPr>
          <w:p w14:paraId="1C92E5EB" w14:textId="77777777" w:rsidR="00FA0A7C" w:rsidRPr="004C4F6D" w:rsidRDefault="00FA0A7C" w:rsidP="004C4F6D">
            <w:pPr>
              <w:spacing w:after="0" w:line="240" w:lineRule="auto"/>
              <w:ind w:right="-66"/>
              <w:jc w:val="center"/>
              <w:rPr>
                <w:rFonts w:ascii="Arial" w:eastAsia="Arial Narrow" w:hAnsi="Arial" w:cs="Arial"/>
                <w:sz w:val="18"/>
                <w:szCs w:val="18"/>
              </w:rPr>
            </w:pPr>
            <w:r w:rsidRPr="004C4F6D">
              <w:rPr>
                <w:rFonts w:ascii="Arial" w:eastAsia="Arial Narrow" w:hAnsi="Arial" w:cs="Arial"/>
                <w:b/>
                <w:sz w:val="18"/>
                <w:szCs w:val="18"/>
              </w:rPr>
              <w:t>Receivable from Subsidiary</w:t>
            </w:r>
            <w:r w:rsidRPr="004C4F6D">
              <w:rPr>
                <w:rFonts w:ascii="Arial" w:eastAsia="Arial Narrow" w:hAnsi="Arial" w:cs="Arial"/>
                <w:b/>
                <w:sz w:val="18"/>
                <w:szCs w:val="18"/>
              </w:rPr>
              <w:br/>
              <w:t>(LBP Book)</w:t>
            </w:r>
          </w:p>
        </w:tc>
        <w:tc>
          <w:tcPr>
            <w:tcW w:w="1946" w:type="dxa"/>
            <w:tcBorders>
              <w:top w:val="single" w:sz="4" w:space="0" w:color="auto"/>
              <w:bottom w:val="single" w:sz="4" w:space="0" w:color="auto"/>
            </w:tcBorders>
            <w:vAlign w:val="center"/>
          </w:tcPr>
          <w:p w14:paraId="4A8B2FB4" w14:textId="77777777" w:rsidR="00FA0A7C" w:rsidRPr="004C4F6D" w:rsidRDefault="00FA0A7C" w:rsidP="004C4F6D">
            <w:pPr>
              <w:spacing w:after="0" w:line="240" w:lineRule="auto"/>
              <w:ind w:right="-66"/>
              <w:jc w:val="center"/>
              <w:rPr>
                <w:rFonts w:ascii="Arial" w:eastAsia="Arial Narrow" w:hAnsi="Arial" w:cs="Arial"/>
                <w:sz w:val="18"/>
                <w:szCs w:val="18"/>
              </w:rPr>
            </w:pPr>
            <w:r w:rsidRPr="004C4F6D">
              <w:rPr>
                <w:rFonts w:ascii="Arial" w:eastAsia="Arial Narrow" w:hAnsi="Arial" w:cs="Arial"/>
                <w:b/>
                <w:sz w:val="18"/>
                <w:szCs w:val="18"/>
              </w:rPr>
              <w:t>Payable to LBP</w:t>
            </w:r>
            <w:r w:rsidRPr="004C4F6D">
              <w:rPr>
                <w:rFonts w:ascii="Arial" w:eastAsia="Arial Narrow" w:hAnsi="Arial" w:cs="Arial"/>
                <w:b/>
                <w:sz w:val="18"/>
                <w:szCs w:val="18"/>
              </w:rPr>
              <w:br/>
              <w:t>(Subsidiary Book)</w:t>
            </w:r>
          </w:p>
        </w:tc>
        <w:tc>
          <w:tcPr>
            <w:tcW w:w="1701" w:type="dxa"/>
            <w:tcBorders>
              <w:top w:val="single" w:sz="4" w:space="0" w:color="auto"/>
              <w:bottom w:val="single" w:sz="4" w:space="0" w:color="auto"/>
            </w:tcBorders>
            <w:vAlign w:val="center"/>
          </w:tcPr>
          <w:p w14:paraId="58B1E33B" w14:textId="77777777" w:rsidR="00FA0A7C" w:rsidRPr="004C4F6D" w:rsidRDefault="00FA0A7C" w:rsidP="004C4F6D">
            <w:pPr>
              <w:spacing w:after="0" w:line="240" w:lineRule="auto"/>
              <w:ind w:right="-86"/>
              <w:jc w:val="center"/>
              <w:rPr>
                <w:rFonts w:ascii="Arial" w:eastAsia="Arial Narrow" w:hAnsi="Arial" w:cs="Arial"/>
                <w:sz w:val="18"/>
                <w:szCs w:val="18"/>
              </w:rPr>
            </w:pPr>
            <w:r w:rsidRPr="004C4F6D">
              <w:rPr>
                <w:rFonts w:ascii="Arial" w:eastAsia="Arial Narrow" w:hAnsi="Arial" w:cs="Arial"/>
                <w:b/>
                <w:sz w:val="18"/>
                <w:szCs w:val="18"/>
              </w:rPr>
              <w:t>Variance</w:t>
            </w:r>
            <w:r w:rsidRPr="004C4F6D">
              <w:rPr>
                <w:rFonts w:ascii="Arial" w:eastAsia="Arial Narrow" w:hAnsi="Arial" w:cs="Arial"/>
                <w:b/>
                <w:sz w:val="18"/>
                <w:szCs w:val="18"/>
              </w:rPr>
              <w:br/>
              <w:t>(actual value)</w:t>
            </w:r>
          </w:p>
        </w:tc>
        <w:tc>
          <w:tcPr>
            <w:tcW w:w="1615" w:type="dxa"/>
            <w:tcBorders>
              <w:top w:val="single" w:sz="4" w:space="0" w:color="auto"/>
              <w:bottom w:val="single" w:sz="4" w:space="0" w:color="auto"/>
            </w:tcBorders>
            <w:vAlign w:val="center"/>
          </w:tcPr>
          <w:p w14:paraId="3B673C47" w14:textId="77777777" w:rsidR="00FA0A7C" w:rsidRPr="004C4F6D" w:rsidRDefault="00FA0A7C" w:rsidP="004C4F6D">
            <w:pPr>
              <w:tabs>
                <w:tab w:val="left" w:pos="1320"/>
              </w:tabs>
              <w:spacing w:after="0" w:line="240" w:lineRule="auto"/>
              <w:ind w:rightChars="-44" w:right="-97"/>
              <w:jc w:val="center"/>
              <w:rPr>
                <w:rFonts w:ascii="Arial" w:eastAsia="Arial Narrow" w:hAnsi="Arial" w:cs="Arial"/>
                <w:sz w:val="18"/>
                <w:szCs w:val="18"/>
              </w:rPr>
            </w:pPr>
            <w:r w:rsidRPr="004C4F6D">
              <w:rPr>
                <w:rFonts w:ascii="Arial" w:eastAsia="Arial Narrow" w:hAnsi="Arial" w:cs="Arial"/>
                <w:b/>
                <w:sz w:val="18"/>
                <w:szCs w:val="18"/>
              </w:rPr>
              <w:t>Variance</w:t>
            </w:r>
            <w:r w:rsidRPr="004C4F6D">
              <w:rPr>
                <w:rFonts w:ascii="Arial" w:eastAsia="Arial Narrow" w:hAnsi="Arial" w:cs="Arial"/>
                <w:b/>
                <w:sz w:val="18"/>
                <w:szCs w:val="18"/>
              </w:rPr>
              <w:br/>
              <w:t>(in absolute value)</w:t>
            </w:r>
          </w:p>
        </w:tc>
      </w:tr>
      <w:tr w:rsidR="00FA0A7C" w:rsidRPr="004C4F6D" w14:paraId="12176406" w14:textId="77777777" w:rsidTr="002F1504">
        <w:trPr>
          <w:trHeight w:hRule="exact" w:val="303"/>
        </w:trPr>
        <w:tc>
          <w:tcPr>
            <w:tcW w:w="400" w:type="dxa"/>
            <w:tcBorders>
              <w:top w:val="single" w:sz="4" w:space="0" w:color="auto"/>
            </w:tcBorders>
            <w:vAlign w:val="center"/>
          </w:tcPr>
          <w:p w14:paraId="10394AA5" w14:textId="77777777" w:rsidR="00FA0A7C" w:rsidRPr="004C4F6D" w:rsidRDefault="00FA0A7C" w:rsidP="004C4F6D">
            <w:pPr>
              <w:spacing w:after="0" w:line="240" w:lineRule="auto"/>
              <w:ind w:right="140"/>
              <w:jc w:val="right"/>
              <w:rPr>
                <w:rFonts w:ascii="Arial" w:eastAsia="Arial Narrow" w:hAnsi="Arial" w:cs="Arial"/>
                <w:sz w:val="18"/>
                <w:szCs w:val="18"/>
              </w:rPr>
            </w:pPr>
            <w:r w:rsidRPr="004C4F6D">
              <w:rPr>
                <w:rFonts w:ascii="Arial" w:eastAsia="Arial Narrow" w:hAnsi="Arial" w:cs="Arial"/>
                <w:sz w:val="18"/>
                <w:szCs w:val="18"/>
              </w:rPr>
              <w:t>1</w:t>
            </w:r>
          </w:p>
        </w:tc>
        <w:tc>
          <w:tcPr>
            <w:tcW w:w="1239" w:type="dxa"/>
            <w:tcBorders>
              <w:top w:val="single" w:sz="4" w:space="0" w:color="auto"/>
            </w:tcBorders>
            <w:vAlign w:val="center"/>
          </w:tcPr>
          <w:p w14:paraId="00F15B1D" w14:textId="77777777" w:rsidR="00FA0A7C" w:rsidRPr="004C4F6D" w:rsidRDefault="00FA0A7C" w:rsidP="004C4F6D">
            <w:pPr>
              <w:spacing w:after="0" w:line="240" w:lineRule="auto"/>
              <w:ind w:left="-22" w:right="140"/>
              <w:rPr>
                <w:rFonts w:ascii="Arial" w:eastAsia="Arial Narrow" w:hAnsi="Arial" w:cs="Arial"/>
                <w:sz w:val="18"/>
                <w:szCs w:val="18"/>
              </w:rPr>
            </w:pPr>
            <w:r w:rsidRPr="004C4F6D">
              <w:rPr>
                <w:rFonts w:ascii="Arial" w:eastAsia="Arial Narrow" w:hAnsi="Arial" w:cs="Arial"/>
                <w:sz w:val="18"/>
                <w:szCs w:val="18"/>
              </w:rPr>
              <w:t>LBRDC</w:t>
            </w:r>
          </w:p>
        </w:tc>
        <w:tc>
          <w:tcPr>
            <w:tcW w:w="1946" w:type="dxa"/>
            <w:tcBorders>
              <w:top w:val="single" w:sz="4" w:space="0" w:color="auto"/>
            </w:tcBorders>
            <w:vAlign w:val="center"/>
          </w:tcPr>
          <w:p w14:paraId="4641105F"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44,035,836.89</w:t>
            </w:r>
          </w:p>
        </w:tc>
        <w:tc>
          <w:tcPr>
            <w:tcW w:w="1946" w:type="dxa"/>
            <w:tcBorders>
              <w:top w:val="single" w:sz="4" w:space="0" w:color="auto"/>
            </w:tcBorders>
            <w:vAlign w:val="center"/>
          </w:tcPr>
          <w:p w14:paraId="491DE620"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44,080,799.08</w:t>
            </w:r>
          </w:p>
        </w:tc>
        <w:tc>
          <w:tcPr>
            <w:tcW w:w="1701" w:type="dxa"/>
            <w:tcBorders>
              <w:top w:val="single" w:sz="4" w:space="0" w:color="auto"/>
            </w:tcBorders>
            <w:vAlign w:val="center"/>
          </w:tcPr>
          <w:p w14:paraId="1B124839" w14:textId="77777777" w:rsidR="00FA0A7C" w:rsidRPr="004C4F6D" w:rsidRDefault="00FA0A7C" w:rsidP="004C4F6D">
            <w:pPr>
              <w:spacing w:after="0" w:line="240" w:lineRule="auto"/>
              <w:ind w:right="-86"/>
              <w:jc w:val="right"/>
              <w:rPr>
                <w:rFonts w:ascii="Arial" w:eastAsia="Arial Narrow" w:hAnsi="Arial" w:cs="Arial"/>
                <w:sz w:val="18"/>
                <w:szCs w:val="18"/>
              </w:rPr>
            </w:pPr>
            <w:r w:rsidRPr="004C4F6D">
              <w:rPr>
                <w:rFonts w:ascii="Arial" w:eastAsia="Arial Narrow" w:hAnsi="Arial" w:cs="Arial"/>
                <w:sz w:val="18"/>
                <w:szCs w:val="18"/>
              </w:rPr>
              <w:t>(44,962.19)</w:t>
            </w:r>
          </w:p>
        </w:tc>
        <w:tc>
          <w:tcPr>
            <w:tcW w:w="1615" w:type="dxa"/>
            <w:tcBorders>
              <w:top w:val="single" w:sz="4" w:space="0" w:color="auto"/>
            </w:tcBorders>
            <w:vAlign w:val="center"/>
          </w:tcPr>
          <w:p w14:paraId="27696A15" w14:textId="77777777" w:rsidR="00FA0A7C" w:rsidRPr="004C4F6D" w:rsidRDefault="00FA0A7C" w:rsidP="004C4F6D">
            <w:pPr>
              <w:tabs>
                <w:tab w:val="left" w:pos="1320"/>
              </w:tabs>
              <w:spacing w:after="0" w:line="240" w:lineRule="auto"/>
              <w:ind w:rightChars="-44" w:right="-97"/>
              <w:jc w:val="right"/>
              <w:rPr>
                <w:rFonts w:ascii="Arial" w:eastAsia="Arial Narrow" w:hAnsi="Arial" w:cs="Arial"/>
                <w:sz w:val="18"/>
                <w:szCs w:val="18"/>
              </w:rPr>
            </w:pPr>
            <w:r w:rsidRPr="004C4F6D">
              <w:rPr>
                <w:rFonts w:ascii="Arial" w:eastAsia="Arial Narrow" w:hAnsi="Arial" w:cs="Arial"/>
                <w:sz w:val="18"/>
                <w:szCs w:val="18"/>
              </w:rPr>
              <w:t>44,962.19</w:t>
            </w:r>
          </w:p>
        </w:tc>
      </w:tr>
      <w:tr w:rsidR="00FA0A7C" w:rsidRPr="004C4F6D" w14:paraId="4FC15D78" w14:textId="77777777" w:rsidTr="002F1504">
        <w:trPr>
          <w:trHeight w:hRule="exact" w:val="278"/>
        </w:trPr>
        <w:tc>
          <w:tcPr>
            <w:tcW w:w="400" w:type="dxa"/>
            <w:vAlign w:val="center"/>
          </w:tcPr>
          <w:p w14:paraId="2664FD18" w14:textId="77777777" w:rsidR="00FA0A7C" w:rsidRPr="004C4F6D" w:rsidRDefault="00FA0A7C" w:rsidP="004C4F6D">
            <w:pPr>
              <w:spacing w:after="0" w:line="240" w:lineRule="auto"/>
              <w:ind w:right="140"/>
              <w:jc w:val="right"/>
              <w:rPr>
                <w:rFonts w:ascii="Arial" w:eastAsia="Arial Narrow" w:hAnsi="Arial" w:cs="Arial"/>
                <w:sz w:val="18"/>
                <w:szCs w:val="18"/>
              </w:rPr>
            </w:pPr>
            <w:r w:rsidRPr="004C4F6D">
              <w:rPr>
                <w:rFonts w:ascii="Arial" w:eastAsia="Arial Narrow" w:hAnsi="Arial" w:cs="Arial"/>
                <w:sz w:val="18"/>
                <w:szCs w:val="18"/>
              </w:rPr>
              <w:t>2</w:t>
            </w:r>
          </w:p>
        </w:tc>
        <w:tc>
          <w:tcPr>
            <w:tcW w:w="1239" w:type="dxa"/>
            <w:vAlign w:val="center"/>
          </w:tcPr>
          <w:p w14:paraId="0B4E3D11" w14:textId="77777777" w:rsidR="00FA0A7C" w:rsidRPr="004C4F6D" w:rsidRDefault="00FA0A7C" w:rsidP="004C4F6D">
            <w:pPr>
              <w:spacing w:after="0" w:line="240" w:lineRule="auto"/>
              <w:ind w:left="-22" w:right="140"/>
              <w:rPr>
                <w:rFonts w:ascii="Arial" w:eastAsia="Arial Narrow" w:hAnsi="Arial" w:cs="Arial"/>
                <w:sz w:val="18"/>
                <w:szCs w:val="18"/>
              </w:rPr>
            </w:pPr>
            <w:r w:rsidRPr="004C4F6D">
              <w:rPr>
                <w:rFonts w:ascii="Arial" w:eastAsia="Arial Narrow" w:hAnsi="Arial" w:cs="Arial"/>
                <w:sz w:val="18"/>
                <w:szCs w:val="18"/>
              </w:rPr>
              <w:t>LLFC</w:t>
            </w:r>
          </w:p>
        </w:tc>
        <w:tc>
          <w:tcPr>
            <w:tcW w:w="1946" w:type="dxa"/>
            <w:vAlign w:val="center"/>
          </w:tcPr>
          <w:p w14:paraId="53896341"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17,268,065.23</w:t>
            </w:r>
          </w:p>
        </w:tc>
        <w:tc>
          <w:tcPr>
            <w:tcW w:w="1946" w:type="dxa"/>
            <w:vAlign w:val="center"/>
          </w:tcPr>
          <w:p w14:paraId="58B1A9A6"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16,193,390.01</w:t>
            </w:r>
          </w:p>
        </w:tc>
        <w:tc>
          <w:tcPr>
            <w:tcW w:w="1701" w:type="dxa"/>
            <w:vAlign w:val="center"/>
          </w:tcPr>
          <w:p w14:paraId="32C63ADE" w14:textId="77777777" w:rsidR="00FA0A7C" w:rsidRPr="004C4F6D" w:rsidRDefault="00FA0A7C" w:rsidP="004C4F6D">
            <w:pPr>
              <w:spacing w:after="0" w:line="240" w:lineRule="auto"/>
              <w:ind w:right="-86"/>
              <w:jc w:val="right"/>
              <w:rPr>
                <w:rFonts w:ascii="Arial" w:eastAsia="Arial Narrow" w:hAnsi="Arial" w:cs="Arial"/>
                <w:sz w:val="18"/>
                <w:szCs w:val="18"/>
              </w:rPr>
            </w:pPr>
            <w:r w:rsidRPr="004C4F6D">
              <w:rPr>
                <w:rFonts w:ascii="Arial" w:eastAsia="Arial Narrow" w:hAnsi="Arial" w:cs="Arial"/>
                <w:sz w:val="18"/>
                <w:szCs w:val="18"/>
              </w:rPr>
              <w:t xml:space="preserve">1,074,675.22 </w:t>
            </w:r>
          </w:p>
        </w:tc>
        <w:tc>
          <w:tcPr>
            <w:tcW w:w="1615" w:type="dxa"/>
            <w:vAlign w:val="center"/>
          </w:tcPr>
          <w:p w14:paraId="79CD3042" w14:textId="77777777" w:rsidR="00FA0A7C" w:rsidRPr="004C4F6D" w:rsidRDefault="00FA0A7C" w:rsidP="004C4F6D">
            <w:pPr>
              <w:tabs>
                <w:tab w:val="left" w:pos="1320"/>
              </w:tabs>
              <w:spacing w:after="0" w:line="240" w:lineRule="auto"/>
              <w:ind w:rightChars="-44" w:right="-97"/>
              <w:jc w:val="right"/>
              <w:rPr>
                <w:rFonts w:ascii="Arial" w:eastAsia="Arial Narrow" w:hAnsi="Arial" w:cs="Arial"/>
                <w:sz w:val="18"/>
                <w:szCs w:val="18"/>
              </w:rPr>
            </w:pPr>
            <w:r w:rsidRPr="004C4F6D">
              <w:rPr>
                <w:rFonts w:ascii="Arial" w:eastAsia="Arial Narrow" w:hAnsi="Arial" w:cs="Arial"/>
                <w:sz w:val="18"/>
                <w:szCs w:val="18"/>
              </w:rPr>
              <w:t xml:space="preserve">1,074,675.22 </w:t>
            </w:r>
          </w:p>
        </w:tc>
      </w:tr>
      <w:tr w:rsidR="00FA0A7C" w:rsidRPr="004C4F6D" w14:paraId="5972C9CC" w14:textId="77777777" w:rsidTr="002F1504">
        <w:trPr>
          <w:trHeight w:hRule="exact" w:val="290"/>
        </w:trPr>
        <w:tc>
          <w:tcPr>
            <w:tcW w:w="400" w:type="dxa"/>
            <w:tcBorders>
              <w:bottom w:val="single" w:sz="4" w:space="0" w:color="auto"/>
            </w:tcBorders>
            <w:vAlign w:val="center"/>
          </w:tcPr>
          <w:p w14:paraId="482BAA6C" w14:textId="77777777" w:rsidR="00FA0A7C" w:rsidRPr="004C4F6D" w:rsidRDefault="00FA0A7C" w:rsidP="004C4F6D">
            <w:pPr>
              <w:spacing w:after="0" w:line="240" w:lineRule="auto"/>
              <w:ind w:right="140"/>
              <w:jc w:val="right"/>
              <w:rPr>
                <w:rFonts w:ascii="Arial" w:eastAsia="Arial Narrow" w:hAnsi="Arial" w:cs="Arial"/>
                <w:sz w:val="18"/>
                <w:szCs w:val="18"/>
              </w:rPr>
            </w:pPr>
            <w:r w:rsidRPr="004C4F6D">
              <w:rPr>
                <w:rFonts w:ascii="Arial" w:eastAsia="Arial Narrow" w:hAnsi="Arial" w:cs="Arial"/>
                <w:sz w:val="18"/>
                <w:szCs w:val="18"/>
              </w:rPr>
              <w:t>3</w:t>
            </w:r>
          </w:p>
        </w:tc>
        <w:tc>
          <w:tcPr>
            <w:tcW w:w="1239" w:type="dxa"/>
            <w:tcBorders>
              <w:bottom w:val="single" w:sz="4" w:space="0" w:color="auto"/>
            </w:tcBorders>
            <w:vAlign w:val="center"/>
          </w:tcPr>
          <w:p w14:paraId="4E35C54E" w14:textId="77777777" w:rsidR="00FA0A7C" w:rsidRPr="004C4F6D" w:rsidRDefault="00FA0A7C" w:rsidP="004C4F6D">
            <w:pPr>
              <w:spacing w:after="0" w:line="240" w:lineRule="auto"/>
              <w:ind w:left="-22" w:right="140"/>
              <w:rPr>
                <w:rFonts w:ascii="Arial" w:eastAsia="Arial Narrow" w:hAnsi="Arial" w:cs="Arial"/>
                <w:sz w:val="18"/>
                <w:szCs w:val="18"/>
              </w:rPr>
            </w:pPr>
            <w:r w:rsidRPr="004C4F6D">
              <w:rPr>
                <w:rFonts w:ascii="Arial" w:eastAsia="Arial Narrow" w:hAnsi="Arial" w:cs="Arial"/>
                <w:sz w:val="18"/>
                <w:szCs w:val="18"/>
              </w:rPr>
              <w:t>OFB</w:t>
            </w:r>
          </w:p>
        </w:tc>
        <w:tc>
          <w:tcPr>
            <w:tcW w:w="1946" w:type="dxa"/>
            <w:tcBorders>
              <w:bottom w:val="single" w:sz="4" w:space="0" w:color="auto"/>
            </w:tcBorders>
            <w:vAlign w:val="center"/>
          </w:tcPr>
          <w:p w14:paraId="7FDF1387"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93,872,554.46</w:t>
            </w:r>
          </w:p>
        </w:tc>
        <w:tc>
          <w:tcPr>
            <w:tcW w:w="1946" w:type="dxa"/>
            <w:tcBorders>
              <w:bottom w:val="single" w:sz="4" w:space="0" w:color="auto"/>
            </w:tcBorders>
            <w:vAlign w:val="center"/>
          </w:tcPr>
          <w:p w14:paraId="2BFD2C36"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88,510,651.09</w:t>
            </w:r>
          </w:p>
        </w:tc>
        <w:tc>
          <w:tcPr>
            <w:tcW w:w="1701" w:type="dxa"/>
            <w:tcBorders>
              <w:bottom w:val="single" w:sz="4" w:space="0" w:color="auto"/>
            </w:tcBorders>
            <w:vAlign w:val="center"/>
          </w:tcPr>
          <w:p w14:paraId="2A95EB5C" w14:textId="77777777" w:rsidR="00FA0A7C" w:rsidRPr="004C4F6D" w:rsidRDefault="00FA0A7C" w:rsidP="004C4F6D">
            <w:pPr>
              <w:spacing w:after="0" w:line="240" w:lineRule="auto"/>
              <w:ind w:right="-86"/>
              <w:jc w:val="right"/>
              <w:rPr>
                <w:rFonts w:ascii="Arial" w:eastAsia="Arial Narrow" w:hAnsi="Arial" w:cs="Arial"/>
                <w:sz w:val="18"/>
                <w:szCs w:val="18"/>
              </w:rPr>
            </w:pPr>
            <w:r w:rsidRPr="004C4F6D">
              <w:rPr>
                <w:rFonts w:ascii="Arial" w:eastAsia="Arial Narrow" w:hAnsi="Arial" w:cs="Arial"/>
                <w:sz w:val="18"/>
                <w:szCs w:val="18"/>
              </w:rPr>
              <w:t>5,361,903.37</w:t>
            </w:r>
          </w:p>
        </w:tc>
        <w:tc>
          <w:tcPr>
            <w:tcW w:w="1615" w:type="dxa"/>
            <w:tcBorders>
              <w:bottom w:val="single" w:sz="4" w:space="0" w:color="auto"/>
            </w:tcBorders>
            <w:vAlign w:val="center"/>
          </w:tcPr>
          <w:p w14:paraId="5472F6CC" w14:textId="77777777" w:rsidR="00FA0A7C" w:rsidRPr="004C4F6D" w:rsidRDefault="00FA0A7C" w:rsidP="004C4F6D">
            <w:pPr>
              <w:tabs>
                <w:tab w:val="left" w:pos="1320"/>
              </w:tabs>
              <w:spacing w:after="0" w:line="240" w:lineRule="auto"/>
              <w:ind w:rightChars="-44" w:right="-97"/>
              <w:jc w:val="right"/>
              <w:rPr>
                <w:rFonts w:ascii="Arial" w:eastAsia="Arial Narrow" w:hAnsi="Arial" w:cs="Arial"/>
                <w:sz w:val="18"/>
                <w:szCs w:val="18"/>
              </w:rPr>
            </w:pPr>
            <w:r w:rsidRPr="004C4F6D">
              <w:rPr>
                <w:rFonts w:ascii="Arial" w:eastAsia="Arial Narrow" w:hAnsi="Arial" w:cs="Arial"/>
                <w:sz w:val="18"/>
                <w:szCs w:val="18"/>
              </w:rPr>
              <w:t>5,949,774.85</w:t>
            </w:r>
          </w:p>
        </w:tc>
      </w:tr>
      <w:tr w:rsidR="00FA0A7C" w:rsidRPr="004C4F6D" w14:paraId="6B0D617E" w14:textId="77777777" w:rsidTr="002F1504">
        <w:trPr>
          <w:trHeight w:hRule="exact" w:val="301"/>
        </w:trPr>
        <w:tc>
          <w:tcPr>
            <w:tcW w:w="400" w:type="dxa"/>
            <w:tcBorders>
              <w:top w:val="single" w:sz="4" w:space="0" w:color="auto"/>
              <w:bottom w:val="double" w:sz="4" w:space="0" w:color="auto"/>
            </w:tcBorders>
            <w:vAlign w:val="center"/>
          </w:tcPr>
          <w:p w14:paraId="23B48136" w14:textId="77777777" w:rsidR="00FA0A7C" w:rsidRPr="004C4F6D" w:rsidRDefault="00FA0A7C" w:rsidP="004C4F6D">
            <w:pPr>
              <w:spacing w:after="0" w:line="240" w:lineRule="auto"/>
              <w:ind w:right="140"/>
              <w:jc w:val="right"/>
              <w:rPr>
                <w:rFonts w:ascii="Arial" w:eastAsia="Arial Narrow" w:hAnsi="Arial" w:cs="Arial"/>
                <w:b/>
                <w:sz w:val="18"/>
                <w:szCs w:val="18"/>
              </w:rPr>
            </w:pPr>
            <w:r w:rsidRPr="004C4F6D">
              <w:rPr>
                <w:rFonts w:ascii="Arial" w:eastAsia="Arial Narrow" w:hAnsi="Arial" w:cs="Arial"/>
                <w:b/>
                <w:sz w:val="18"/>
                <w:szCs w:val="18"/>
              </w:rPr>
              <w:t> </w:t>
            </w:r>
          </w:p>
        </w:tc>
        <w:tc>
          <w:tcPr>
            <w:tcW w:w="1239" w:type="dxa"/>
            <w:tcBorders>
              <w:top w:val="single" w:sz="4" w:space="0" w:color="auto"/>
              <w:bottom w:val="double" w:sz="4" w:space="0" w:color="auto"/>
            </w:tcBorders>
            <w:vAlign w:val="center"/>
          </w:tcPr>
          <w:p w14:paraId="5ECDAFE2" w14:textId="77777777" w:rsidR="00FA0A7C" w:rsidRPr="004C4F6D" w:rsidRDefault="00FA0A7C" w:rsidP="004C4F6D">
            <w:pPr>
              <w:spacing w:after="0" w:line="240" w:lineRule="auto"/>
              <w:ind w:left="-22" w:right="140"/>
              <w:rPr>
                <w:rFonts w:ascii="Arial" w:eastAsia="Arial Narrow" w:hAnsi="Arial" w:cs="Arial"/>
                <w:b/>
                <w:sz w:val="18"/>
                <w:szCs w:val="18"/>
              </w:rPr>
            </w:pPr>
            <w:r w:rsidRPr="004C4F6D">
              <w:rPr>
                <w:rFonts w:ascii="Arial" w:eastAsia="Arial Narrow" w:hAnsi="Arial" w:cs="Arial"/>
                <w:b/>
                <w:sz w:val="18"/>
                <w:szCs w:val="18"/>
              </w:rPr>
              <w:t> Total</w:t>
            </w:r>
          </w:p>
        </w:tc>
        <w:tc>
          <w:tcPr>
            <w:tcW w:w="1946" w:type="dxa"/>
            <w:tcBorders>
              <w:top w:val="single" w:sz="4" w:space="0" w:color="auto"/>
              <w:bottom w:val="double" w:sz="4" w:space="0" w:color="auto"/>
            </w:tcBorders>
            <w:vAlign w:val="center"/>
          </w:tcPr>
          <w:p w14:paraId="13E164F2" w14:textId="77777777" w:rsidR="00FA0A7C" w:rsidRPr="004C4F6D" w:rsidRDefault="00FA0A7C" w:rsidP="004C4F6D">
            <w:pPr>
              <w:spacing w:after="0" w:line="240" w:lineRule="auto"/>
              <w:ind w:right="-66"/>
              <w:jc w:val="right"/>
              <w:rPr>
                <w:rFonts w:ascii="Arial" w:eastAsia="Arial Narrow" w:hAnsi="Arial" w:cs="Arial"/>
                <w:b/>
                <w:sz w:val="18"/>
                <w:szCs w:val="18"/>
              </w:rPr>
            </w:pPr>
            <w:r w:rsidRPr="004C4F6D">
              <w:rPr>
                <w:rFonts w:ascii="Arial" w:eastAsia="Arial Narrow" w:hAnsi="Arial" w:cs="Arial"/>
                <w:b/>
                <w:sz w:val="18"/>
                <w:szCs w:val="18"/>
              </w:rPr>
              <w:t>155,176,456.58</w:t>
            </w:r>
          </w:p>
        </w:tc>
        <w:tc>
          <w:tcPr>
            <w:tcW w:w="1946" w:type="dxa"/>
            <w:tcBorders>
              <w:top w:val="single" w:sz="4" w:space="0" w:color="auto"/>
              <w:bottom w:val="double" w:sz="4" w:space="0" w:color="auto"/>
            </w:tcBorders>
            <w:vAlign w:val="center"/>
          </w:tcPr>
          <w:p w14:paraId="48EA4459" w14:textId="77777777" w:rsidR="00FA0A7C" w:rsidRPr="004C4F6D" w:rsidRDefault="00FA0A7C" w:rsidP="004C4F6D">
            <w:pPr>
              <w:spacing w:after="0" w:line="240" w:lineRule="auto"/>
              <w:ind w:right="-66"/>
              <w:jc w:val="right"/>
              <w:rPr>
                <w:rFonts w:ascii="Arial" w:eastAsia="Arial Narrow" w:hAnsi="Arial" w:cs="Arial"/>
                <w:b/>
                <w:sz w:val="18"/>
                <w:szCs w:val="18"/>
              </w:rPr>
            </w:pPr>
            <w:r w:rsidRPr="004C4F6D">
              <w:rPr>
                <w:rFonts w:ascii="Arial" w:eastAsia="Arial Narrow" w:hAnsi="Arial" w:cs="Arial"/>
                <w:b/>
                <w:sz w:val="18"/>
                <w:szCs w:val="18"/>
              </w:rPr>
              <w:t>148,784,840.18</w:t>
            </w:r>
          </w:p>
        </w:tc>
        <w:tc>
          <w:tcPr>
            <w:tcW w:w="1701" w:type="dxa"/>
            <w:tcBorders>
              <w:top w:val="single" w:sz="4" w:space="0" w:color="auto"/>
              <w:bottom w:val="double" w:sz="4" w:space="0" w:color="auto"/>
            </w:tcBorders>
            <w:vAlign w:val="center"/>
          </w:tcPr>
          <w:p w14:paraId="5E4CD928" w14:textId="77777777" w:rsidR="00FA0A7C" w:rsidRPr="004C4F6D" w:rsidRDefault="00FA0A7C" w:rsidP="004C4F6D">
            <w:pPr>
              <w:spacing w:after="0" w:line="240" w:lineRule="auto"/>
              <w:ind w:right="-86"/>
              <w:jc w:val="right"/>
              <w:rPr>
                <w:rFonts w:ascii="Arial" w:eastAsia="Arial Narrow" w:hAnsi="Arial" w:cs="Arial"/>
                <w:b/>
                <w:sz w:val="18"/>
                <w:szCs w:val="18"/>
              </w:rPr>
            </w:pPr>
            <w:r w:rsidRPr="004C4F6D">
              <w:rPr>
                <w:rFonts w:ascii="Arial" w:eastAsia="Arial Narrow" w:hAnsi="Arial" w:cs="Arial"/>
                <w:b/>
                <w:sz w:val="18"/>
                <w:szCs w:val="18"/>
              </w:rPr>
              <w:t>6,391,616.40</w:t>
            </w:r>
          </w:p>
        </w:tc>
        <w:tc>
          <w:tcPr>
            <w:tcW w:w="1615" w:type="dxa"/>
            <w:tcBorders>
              <w:top w:val="single" w:sz="4" w:space="0" w:color="auto"/>
              <w:bottom w:val="double" w:sz="4" w:space="0" w:color="auto"/>
            </w:tcBorders>
            <w:vAlign w:val="center"/>
          </w:tcPr>
          <w:p w14:paraId="4533B0AB" w14:textId="77777777" w:rsidR="00FA0A7C" w:rsidRPr="004C4F6D" w:rsidRDefault="00FA0A7C" w:rsidP="004C4F6D">
            <w:pPr>
              <w:tabs>
                <w:tab w:val="left" w:pos="1320"/>
              </w:tabs>
              <w:spacing w:after="0" w:line="240" w:lineRule="auto"/>
              <w:ind w:rightChars="-44" w:right="-97"/>
              <w:jc w:val="right"/>
              <w:rPr>
                <w:rFonts w:ascii="Arial" w:eastAsia="Arial Narrow" w:hAnsi="Arial" w:cs="Arial"/>
                <w:b/>
                <w:sz w:val="18"/>
                <w:szCs w:val="18"/>
              </w:rPr>
            </w:pPr>
            <w:r w:rsidRPr="004C4F6D">
              <w:rPr>
                <w:rFonts w:ascii="Arial" w:eastAsia="Arial Narrow" w:hAnsi="Arial" w:cs="Arial"/>
                <w:b/>
                <w:sz w:val="18"/>
                <w:szCs w:val="18"/>
              </w:rPr>
              <w:t>7,069,412.26</w:t>
            </w:r>
          </w:p>
        </w:tc>
      </w:tr>
      <w:tr w:rsidR="00FA0A7C" w:rsidRPr="004C4F6D" w14:paraId="5724DEC1" w14:textId="77777777" w:rsidTr="002F1504">
        <w:trPr>
          <w:trHeight w:hRule="exact" w:val="268"/>
        </w:trPr>
        <w:tc>
          <w:tcPr>
            <w:tcW w:w="400" w:type="dxa"/>
            <w:tcBorders>
              <w:top w:val="double" w:sz="4" w:space="0" w:color="auto"/>
              <w:bottom w:val="single" w:sz="4" w:space="0" w:color="auto"/>
            </w:tcBorders>
            <w:vAlign w:val="center"/>
          </w:tcPr>
          <w:p w14:paraId="7B6202A6" w14:textId="790B69A9" w:rsidR="00FA0A7C" w:rsidRPr="004C4F6D" w:rsidRDefault="00FA0A7C" w:rsidP="004C4F6D">
            <w:pPr>
              <w:spacing w:after="0" w:line="240" w:lineRule="auto"/>
              <w:ind w:right="140"/>
              <w:jc w:val="right"/>
              <w:rPr>
                <w:rFonts w:ascii="Arial" w:eastAsia="Arial Narrow" w:hAnsi="Arial" w:cs="Arial"/>
                <w:sz w:val="18"/>
                <w:szCs w:val="18"/>
              </w:rPr>
            </w:pPr>
          </w:p>
        </w:tc>
        <w:tc>
          <w:tcPr>
            <w:tcW w:w="1239" w:type="dxa"/>
            <w:tcBorders>
              <w:top w:val="double" w:sz="4" w:space="0" w:color="auto"/>
              <w:bottom w:val="single" w:sz="4" w:space="0" w:color="auto"/>
            </w:tcBorders>
            <w:vAlign w:val="center"/>
          </w:tcPr>
          <w:p w14:paraId="7A0C9F73" w14:textId="77777777" w:rsidR="00FA0A7C" w:rsidRPr="004C4F6D" w:rsidRDefault="00FA0A7C" w:rsidP="004C4F6D">
            <w:pPr>
              <w:spacing w:after="0" w:line="240" w:lineRule="auto"/>
              <w:ind w:left="-22" w:right="140"/>
              <w:jc w:val="right"/>
              <w:rPr>
                <w:rFonts w:ascii="Arial" w:eastAsia="Arial Narrow" w:hAnsi="Arial" w:cs="Arial"/>
                <w:sz w:val="18"/>
                <w:szCs w:val="18"/>
              </w:rPr>
            </w:pPr>
          </w:p>
        </w:tc>
        <w:tc>
          <w:tcPr>
            <w:tcW w:w="1946" w:type="dxa"/>
            <w:tcBorders>
              <w:top w:val="double" w:sz="4" w:space="0" w:color="auto"/>
              <w:bottom w:val="single" w:sz="4" w:space="0" w:color="auto"/>
            </w:tcBorders>
            <w:vAlign w:val="center"/>
          </w:tcPr>
          <w:p w14:paraId="514DF670" w14:textId="77777777" w:rsidR="00FA0A7C" w:rsidRPr="004C4F6D" w:rsidRDefault="00FA0A7C" w:rsidP="004C4F6D">
            <w:pPr>
              <w:spacing w:after="0" w:line="240" w:lineRule="auto"/>
              <w:ind w:right="140"/>
              <w:jc w:val="right"/>
              <w:rPr>
                <w:rFonts w:ascii="Arial" w:eastAsia="Arial Narrow" w:hAnsi="Arial" w:cs="Arial"/>
                <w:sz w:val="18"/>
                <w:szCs w:val="18"/>
              </w:rPr>
            </w:pPr>
          </w:p>
        </w:tc>
        <w:tc>
          <w:tcPr>
            <w:tcW w:w="1946" w:type="dxa"/>
            <w:tcBorders>
              <w:top w:val="double" w:sz="4" w:space="0" w:color="auto"/>
              <w:bottom w:val="single" w:sz="4" w:space="0" w:color="auto"/>
            </w:tcBorders>
            <w:vAlign w:val="center"/>
          </w:tcPr>
          <w:p w14:paraId="36F403AD" w14:textId="77777777" w:rsidR="00FA0A7C" w:rsidRPr="004C4F6D" w:rsidRDefault="00FA0A7C" w:rsidP="004C4F6D">
            <w:pPr>
              <w:spacing w:after="0" w:line="240" w:lineRule="auto"/>
              <w:ind w:right="140"/>
              <w:jc w:val="right"/>
              <w:rPr>
                <w:rFonts w:ascii="Arial" w:eastAsia="Arial Narrow" w:hAnsi="Arial" w:cs="Arial"/>
                <w:sz w:val="18"/>
                <w:szCs w:val="18"/>
              </w:rPr>
            </w:pPr>
          </w:p>
        </w:tc>
        <w:tc>
          <w:tcPr>
            <w:tcW w:w="1701" w:type="dxa"/>
            <w:tcBorders>
              <w:top w:val="double" w:sz="4" w:space="0" w:color="auto"/>
              <w:bottom w:val="single" w:sz="4" w:space="0" w:color="auto"/>
            </w:tcBorders>
            <w:vAlign w:val="center"/>
          </w:tcPr>
          <w:p w14:paraId="4A3DC748" w14:textId="77777777" w:rsidR="00FA0A7C" w:rsidRPr="004C4F6D" w:rsidRDefault="00FA0A7C" w:rsidP="004C4F6D">
            <w:pPr>
              <w:spacing w:after="0" w:line="240" w:lineRule="auto"/>
              <w:ind w:right="140"/>
              <w:jc w:val="right"/>
              <w:rPr>
                <w:rFonts w:ascii="Arial" w:eastAsia="Arial Narrow" w:hAnsi="Arial" w:cs="Arial"/>
                <w:sz w:val="18"/>
                <w:szCs w:val="18"/>
              </w:rPr>
            </w:pPr>
          </w:p>
        </w:tc>
        <w:tc>
          <w:tcPr>
            <w:tcW w:w="1615" w:type="dxa"/>
            <w:tcBorders>
              <w:top w:val="double" w:sz="4" w:space="0" w:color="auto"/>
              <w:bottom w:val="single" w:sz="4" w:space="0" w:color="auto"/>
            </w:tcBorders>
            <w:vAlign w:val="center"/>
          </w:tcPr>
          <w:p w14:paraId="3F130147" w14:textId="77777777" w:rsidR="00FA0A7C" w:rsidRPr="004C4F6D" w:rsidRDefault="00FA0A7C" w:rsidP="004C4F6D">
            <w:pPr>
              <w:spacing w:after="0" w:line="240" w:lineRule="auto"/>
              <w:ind w:right="140"/>
              <w:jc w:val="right"/>
              <w:rPr>
                <w:rFonts w:ascii="Arial" w:eastAsia="Arial Narrow" w:hAnsi="Arial" w:cs="Arial"/>
                <w:sz w:val="18"/>
                <w:szCs w:val="18"/>
              </w:rPr>
            </w:pPr>
          </w:p>
        </w:tc>
      </w:tr>
      <w:tr w:rsidR="00FA0A7C" w:rsidRPr="004C4F6D" w14:paraId="461891AB" w14:textId="77777777" w:rsidTr="002F1504">
        <w:trPr>
          <w:trHeight w:hRule="exact" w:val="861"/>
        </w:trPr>
        <w:tc>
          <w:tcPr>
            <w:tcW w:w="400" w:type="dxa"/>
            <w:tcBorders>
              <w:top w:val="single" w:sz="4" w:space="0" w:color="auto"/>
              <w:bottom w:val="single" w:sz="4" w:space="0" w:color="auto"/>
            </w:tcBorders>
            <w:vAlign w:val="center"/>
          </w:tcPr>
          <w:p w14:paraId="3C826369" w14:textId="77777777" w:rsidR="00FA0A7C" w:rsidRPr="004C4F6D" w:rsidRDefault="00FA0A7C" w:rsidP="004C4F6D">
            <w:pPr>
              <w:spacing w:after="0" w:line="240" w:lineRule="auto"/>
              <w:ind w:right="140"/>
              <w:jc w:val="center"/>
              <w:rPr>
                <w:rFonts w:ascii="Arial" w:eastAsia="Arial Narrow" w:hAnsi="Arial" w:cs="Arial"/>
                <w:sz w:val="18"/>
                <w:szCs w:val="18"/>
              </w:rPr>
            </w:pPr>
            <w:r w:rsidRPr="004C4F6D">
              <w:rPr>
                <w:rFonts w:ascii="Arial" w:eastAsia="Arial Narrow" w:hAnsi="Arial" w:cs="Arial"/>
                <w:sz w:val="18"/>
                <w:szCs w:val="18"/>
              </w:rPr>
              <w:t> </w:t>
            </w:r>
          </w:p>
        </w:tc>
        <w:tc>
          <w:tcPr>
            <w:tcW w:w="1239" w:type="dxa"/>
            <w:tcBorders>
              <w:top w:val="single" w:sz="4" w:space="0" w:color="auto"/>
              <w:bottom w:val="single" w:sz="4" w:space="0" w:color="auto"/>
            </w:tcBorders>
            <w:vAlign w:val="center"/>
          </w:tcPr>
          <w:p w14:paraId="712C900E" w14:textId="77777777" w:rsidR="00FA0A7C" w:rsidRPr="004C4F6D" w:rsidRDefault="00FA0A7C" w:rsidP="004C4F6D">
            <w:pPr>
              <w:spacing w:after="0" w:line="240" w:lineRule="auto"/>
              <w:ind w:left="-171" w:right="-100"/>
              <w:jc w:val="center"/>
              <w:rPr>
                <w:rFonts w:ascii="Arial" w:eastAsia="Arial Narrow" w:hAnsi="Arial" w:cs="Arial"/>
                <w:b/>
                <w:bCs/>
                <w:sz w:val="18"/>
                <w:szCs w:val="18"/>
              </w:rPr>
            </w:pPr>
            <w:r w:rsidRPr="004C4F6D">
              <w:rPr>
                <w:rFonts w:ascii="Arial" w:eastAsia="Arial Narrow" w:hAnsi="Arial" w:cs="Arial"/>
                <w:b/>
                <w:bCs/>
                <w:sz w:val="18"/>
                <w:szCs w:val="18"/>
              </w:rPr>
              <w:t> Subsidiaries</w:t>
            </w:r>
          </w:p>
        </w:tc>
        <w:tc>
          <w:tcPr>
            <w:tcW w:w="1946" w:type="dxa"/>
            <w:tcBorders>
              <w:top w:val="single" w:sz="4" w:space="0" w:color="auto"/>
              <w:bottom w:val="single" w:sz="4" w:space="0" w:color="auto"/>
            </w:tcBorders>
            <w:vAlign w:val="center"/>
          </w:tcPr>
          <w:p w14:paraId="559F4BEA" w14:textId="77777777" w:rsidR="00FA0A7C" w:rsidRPr="004C4F6D" w:rsidRDefault="00FA0A7C" w:rsidP="004C4F6D">
            <w:pPr>
              <w:spacing w:after="0" w:line="240" w:lineRule="auto"/>
              <w:ind w:right="-66"/>
              <w:jc w:val="center"/>
              <w:rPr>
                <w:rFonts w:ascii="Arial" w:eastAsia="Arial Narrow" w:hAnsi="Arial" w:cs="Arial"/>
                <w:b/>
                <w:bCs/>
                <w:sz w:val="18"/>
                <w:szCs w:val="18"/>
              </w:rPr>
            </w:pPr>
            <w:r w:rsidRPr="004C4F6D">
              <w:rPr>
                <w:rFonts w:ascii="Arial" w:eastAsia="Arial Narrow" w:hAnsi="Arial" w:cs="Arial"/>
                <w:b/>
                <w:bCs/>
                <w:sz w:val="18"/>
                <w:szCs w:val="18"/>
              </w:rPr>
              <w:t>Payable to Subsidiary</w:t>
            </w:r>
            <w:r w:rsidRPr="004C4F6D">
              <w:rPr>
                <w:rFonts w:ascii="Arial" w:eastAsia="Arial Narrow" w:hAnsi="Arial" w:cs="Arial"/>
                <w:b/>
                <w:bCs/>
                <w:sz w:val="18"/>
                <w:szCs w:val="18"/>
              </w:rPr>
              <w:br/>
              <w:t>(LBP Book)</w:t>
            </w:r>
          </w:p>
        </w:tc>
        <w:tc>
          <w:tcPr>
            <w:tcW w:w="1946" w:type="dxa"/>
            <w:tcBorders>
              <w:top w:val="single" w:sz="4" w:space="0" w:color="auto"/>
              <w:bottom w:val="single" w:sz="4" w:space="0" w:color="auto"/>
            </w:tcBorders>
            <w:vAlign w:val="center"/>
          </w:tcPr>
          <w:p w14:paraId="5B304053" w14:textId="77777777" w:rsidR="00FA0A7C" w:rsidRPr="004C4F6D" w:rsidRDefault="00FA0A7C" w:rsidP="004C4F6D">
            <w:pPr>
              <w:spacing w:after="0" w:line="240" w:lineRule="auto"/>
              <w:ind w:right="-66"/>
              <w:jc w:val="center"/>
              <w:rPr>
                <w:rFonts w:ascii="Arial" w:eastAsia="Arial Narrow" w:hAnsi="Arial" w:cs="Arial"/>
                <w:b/>
                <w:bCs/>
                <w:sz w:val="18"/>
                <w:szCs w:val="18"/>
              </w:rPr>
            </w:pPr>
            <w:r w:rsidRPr="004C4F6D">
              <w:rPr>
                <w:rFonts w:ascii="Arial" w:eastAsia="Arial Narrow" w:hAnsi="Arial" w:cs="Arial"/>
                <w:b/>
                <w:bCs/>
                <w:sz w:val="18"/>
                <w:szCs w:val="18"/>
              </w:rPr>
              <w:t>Receivable from LBP</w:t>
            </w:r>
            <w:r w:rsidRPr="004C4F6D">
              <w:rPr>
                <w:rFonts w:ascii="Arial" w:eastAsia="Arial Narrow" w:hAnsi="Arial" w:cs="Arial"/>
                <w:b/>
                <w:bCs/>
                <w:sz w:val="18"/>
                <w:szCs w:val="18"/>
              </w:rPr>
              <w:br/>
              <w:t>(Subsidiary Book)</w:t>
            </w:r>
          </w:p>
        </w:tc>
        <w:tc>
          <w:tcPr>
            <w:tcW w:w="1701" w:type="dxa"/>
            <w:tcBorders>
              <w:top w:val="single" w:sz="4" w:space="0" w:color="auto"/>
              <w:bottom w:val="single" w:sz="4" w:space="0" w:color="auto"/>
            </w:tcBorders>
            <w:vAlign w:val="center"/>
          </w:tcPr>
          <w:p w14:paraId="652094B4" w14:textId="77777777" w:rsidR="00FA0A7C" w:rsidRPr="004C4F6D" w:rsidRDefault="00FA0A7C" w:rsidP="004C4F6D">
            <w:pPr>
              <w:spacing w:after="0" w:line="240" w:lineRule="auto"/>
              <w:ind w:right="-86"/>
              <w:jc w:val="center"/>
              <w:rPr>
                <w:rFonts w:ascii="Arial" w:eastAsia="Arial Narrow" w:hAnsi="Arial" w:cs="Arial"/>
                <w:b/>
                <w:bCs/>
                <w:sz w:val="18"/>
                <w:szCs w:val="18"/>
              </w:rPr>
            </w:pPr>
            <w:r w:rsidRPr="004C4F6D">
              <w:rPr>
                <w:rFonts w:ascii="Arial" w:eastAsia="Arial Narrow" w:hAnsi="Arial" w:cs="Arial"/>
                <w:b/>
                <w:bCs/>
                <w:sz w:val="18"/>
                <w:szCs w:val="18"/>
              </w:rPr>
              <w:t>Variance</w:t>
            </w:r>
            <w:r w:rsidRPr="004C4F6D">
              <w:rPr>
                <w:rFonts w:ascii="Arial" w:eastAsia="Arial Narrow" w:hAnsi="Arial" w:cs="Arial"/>
                <w:b/>
                <w:bCs/>
                <w:sz w:val="18"/>
                <w:szCs w:val="18"/>
              </w:rPr>
              <w:br/>
              <w:t>(actual value)</w:t>
            </w:r>
          </w:p>
        </w:tc>
        <w:tc>
          <w:tcPr>
            <w:tcW w:w="1615" w:type="dxa"/>
            <w:tcBorders>
              <w:top w:val="single" w:sz="4" w:space="0" w:color="auto"/>
              <w:bottom w:val="single" w:sz="4" w:space="0" w:color="auto"/>
            </w:tcBorders>
            <w:vAlign w:val="center"/>
          </w:tcPr>
          <w:p w14:paraId="2DF5B474" w14:textId="77777777" w:rsidR="00FA0A7C" w:rsidRPr="004C4F6D" w:rsidRDefault="00FA0A7C" w:rsidP="004C4F6D">
            <w:pPr>
              <w:spacing w:after="0" w:line="240" w:lineRule="auto"/>
              <w:ind w:right="-99"/>
              <w:jc w:val="center"/>
              <w:rPr>
                <w:rFonts w:ascii="Arial" w:eastAsia="Arial Narrow" w:hAnsi="Arial" w:cs="Arial"/>
                <w:b/>
                <w:bCs/>
                <w:sz w:val="18"/>
                <w:szCs w:val="18"/>
              </w:rPr>
            </w:pPr>
            <w:r w:rsidRPr="004C4F6D">
              <w:rPr>
                <w:rFonts w:ascii="Arial" w:eastAsia="Arial Narrow" w:hAnsi="Arial" w:cs="Arial"/>
                <w:b/>
                <w:bCs/>
                <w:sz w:val="18"/>
                <w:szCs w:val="18"/>
              </w:rPr>
              <w:t xml:space="preserve"> Variance</w:t>
            </w:r>
            <w:r w:rsidRPr="004C4F6D">
              <w:rPr>
                <w:rFonts w:ascii="Arial" w:eastAsia="Arial Narrow" w:hAnsi="Arial" w:cs="Arial"/>
                <w:b/>
                <w:bCs/>
                <w:sz w:val="18"/>
                <w:szCs w:val="18"/>
              </w:rPr>
              <w:br/>
              <w:t xml:space="preserve">(in absolute value) </w:t>
            </w:r>
          </w:p>
        </w:tc>
      </w:tr>
      <w:tr w:rsidR="00FA0A7C" w:rsidRPr="004C4F6D" w14:paraId="6321BDAE" w14:textId="77777777" w:rsidTr="002F1504">
        <w:trPr>
          <w:trHeight w:hRule="exact" w:val="280"/>
        </w:trPr>
        <w:tc>
          <w:tcPr>
            <w:tcW w:w="400" w:type="dxa"/>
            <w:tcBorders>
              <w:top w:val="single" w:sz="4" w:space="0" w:color="auto"/>
            </w:tcBorders>
            <w:vAlign w:val="center"/>
          </w:tcPr>
          <w:p w14:paraId="37992A8F" w14:textId="77777777" w:rsidR="00FA0A7C" w:rsidRPr="004C4F6D" w:rsidRDefault="00FA0A7C" w:rsidP="004C4F6D">
            <w:pPr>
              <w:spacing w:after="0" w:line="240" w:lineRule="auto"/>
              <w:ind w:right="140"/>
              <w:jc w:val="right"/>
              <w:rPr>
                <w:rFonts w:ascii="Arial" w:eastAsia="Arial Narrow" w:hAnsi="Arial" w:cs="Arial"/>
                <w:sz w:val="18"/>
                <w:szCs w:val="18"/>
              </w:rPr>
            </w:pPr>
            <w:r w:rsidRPr="004C4F6D">
              <w:rPr>
                <w:rFonts w:ascii="Arial" w:eastAsia="Arial Narrow" w:hAnsi="Arial" w:cs="Arial"/>
                <w:sz w:val="18"/>
                <w:szCs w:val="18"/>
              </w:rPr>
              <w:t>1</w:t>
            </w:r>
          </w:p>
        </w:tc>
        <w:tc>
          <w:tcPr>
            <w:tcW w:w="1239" w:type="dxa"/>
            <w:tcBorders>
              <w:top w:val="single" w:sz="4" w:space="0" w:color="auto"/>
            </w:tcBorders>
            <w:vAlign w:val="center"/>
          </w:tcPr>
          <w:p w14:paraId="0A0276D6" w14:textId="77777777" w:rsidR="00FA0A7C" w:rsidRPr="004C4F6D" w:rsidRDefault="00FA0A7C" w:rsidP="004C4F6D">
            <w:pPr>
              <w:spacing w:after="0" w:line="240" w:lineRule="auto"/>
              <w:ind w:left="-22" w:right="140"/>
              <w:rPr>
                <w:rFonts w:ascii="Arial" w:eastAsia="Arial Narrow" w:hAnsi="Arial" w:cs="Arial"/>
                <w:sz w:val="18"/>
                <w:szCs w:val="18"/>
              </w:rPr>
            </w:pPr>
            <w:r w:rsidRPr="004C4F6D">
              <w:rPr>
                <w:rFonts w:ascii="Arial" w:eastAsia="Arial Narrow" w:hAnsi="Arial" w:cs="Arial"/>
                <w:sz w:val="18"/>
                <w:szCs w:val="18"/>
              </w:rPr>
              <w:t>LBRDC</w:t>
            </w:r>
          </w:p>
        </w:tc>
        <w:tc>
          <w:tcPr>
            <w:tcW w:w="1946" w:type="dxa"/>
            <w:tcBorders>
              <w:top w:val="single" w:sz="4" w:space="0" w:color="auto"/>
            </w:tcBorders>
            <w:vAlign w:val="center"/>
          </w:tcPr>
          <w:p w14:paraId="1B959CC7"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328,045,489.49</w:t>
            </w:r>
          </w:p>
        </w:tc>
        <w:tc>
          <w:tcPr>
            <w:tcW w:w="1946" w:type="dxa"/>
            <w:tcBorders>
              <w:top w:val="single" w:sz="4" w:space="0" w:color="auto"/>
            </w:tcBorders>
            <w:vAlign w:val="center"/>
          </w:tcPr>
          <w:p w14:paraId="55AC3823"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346,942,125.28</w:t>
            </w:r>
          </w:p>
        </w:tc>
        <w:tc>
          <w:tcPr>
            <w:tcW w:w="1701" w:type="dxa"/>
            <w:tcBorders>
              <w:top w:val="single" w:sz="4" w:space="0" w:color="auto"/>
            </w:tcBorders>
            <w:vAlign w:val="center"/>
          </w:tcPr>
          <w:p w14:paraId="4AF2793F" w14:textId="77777777" w:rsidR="00FA0A7C" w:rsidRPr="004C4F6D" w:rsidRDefault="00FA0A7C" w:rsidP="004C4F6D">
            <w:pPr>
              <w:spacing w:after="0" w:line="240" w:lineRule="auto"/>
              <w:ind w:right="-86"/>
              <w:jc w:val="right"/>
              <w:rPr>
                <w:rFonts w:ascii="Arial" w:eastAsia="Arial Narrow" w:hAnsi="Arial" w:cs="Arial"/>
                <w:sz w:val="18"/>
                <w:szCs w:val="18"/>
              </w:rPr>
            </w:pPr>
            <w:r w:rsidRPr="004C4F6D">
              <w:rPr>
                <w:rFonts w:ascii="Arial" w:eastAsia="Arial Narrow" w:hAnsi="Arial" w:cs="Arial"/>
                <w:sz w:val="18"/>
                <w:szCs w:val="18"/>
              </w:rPr>
              <w:t>(18,896,635.79)</w:t>
            </w:r>
          </w:p>
        </w:tc>
        <w:tc>
          <w:tcPr>
            <w:tcW w:w="1615" w:type="dxa"/>
            <w:tcBorders>
              <w:top w:val="single" w:sz="4" w:space="0" w:color="auto"/>
            </w:tcBorders>
            <w:vAlign w:val="center"/>
          </w:tcPr>
          <w:p w14:paraId="53223A41" w14:textId="77777777" w:rsidR="00FA0A7C" w:rsidRPr="004C4F6D" w:rsidRDefault="00FA0A7C" w:rsidP="004C4F6D">
            <w:pPr>
              <w:spacing w:after="0" w:line="240" w:lineRule="auto"/>
              <w:ind w:right="-99"/>
              <w:jc w:val="right"/>
              <w:rPr>
                <w:rFonts w:ascii="Arial" w:eastAsia="Arial Narrow" w:hAnsi="Arial" w:cs="Arial"/>
                <w:sz w:val="18"/>
                <w:szCs w:val="18"/>
              </w:rPr>
            </w:pPr>
            <w:r w:rsidRPr="004C4F6D">
              <w:rPr>
                <w:rFonts w:ascii="Arial" w:eastAsia="Arial Narrow" w:hAnsi="Arial" w:cs="Arial"/>
                <w:sz w:val="18"/>
                <w:szCs w:val="18"/>
              </w:rPr>
              <w:t>18,896,635.79</w:t>
            </w:r>
          </w:p>
        </w:tc>
      </w:tr>
      <w:tr w:rsidR="00FA0A7C" w:rsidRPr="004C4F6D" w14:paraId="57864129" w14:textId="77777777" w:rsidTr="002F1504">
        <w:trPr>
          <w:trHeight w:hRule="exact" w:val="299"/>
        </w:trPr>
        <w:tc>
          <w:tcPr>
            <w:tcW w:w="400" w:type="dxa"/>
            <w:tcBorders>
              <w:bottom w:val="single" w:sz="4" w:space="0" w:color="auto"/>
            </w:tcBorders>
            <w:vAlign w:val="center"/>
          </w:tcPr>
          <w:p w14:paraId="2076B5E6" w14:textId="77777777" w:rsidR="00FA0A7C" w:rsidRPr="004C4F6D" w:rsidRDefault="00FA0A7C" w:rsidP="004C4F6D">
            <w:pPr>
              <w:spacing w:after="0" w:line="240" w:lineRule="auto"/>
              <w:ind w:right="140"/>
              <w:jc w:val="right"/>
              <w:rPr>
                <w:rFonts w:ascii="Arial" w:eastAsia="Arial Narrow" w:hAnsi="Arial" w:cs="Arial"/>
                <w:sz w:val="18"/>
                <w:szCs w:val="18"/>
              </w:rPr>
            </w:pPr>
            <w:r w:rsidRPr="004C4F6D">
              <w:rPr>
                <w:rFonts w:ascii="Arial" w:eastAsia="Arial Narrow" w:hAnsi="Arial" w:cs="Arial"/>
                <w:sz w:val="18"/>
                <w:szCs w:val="18"/>
              </w:rPr>
              <w:t>2</w:t>
            </w:r>
          </w:p>
        </w:tc>
        <w:tc>
          <w:tcPr>
            <w:tcW w:w="1239" w:type="dxa"/>
            <w:tcBorders>
              <w:bottom w:val="single" w:sz="4" w:space="0" w:color="auto"/>
            </w:tcBorders>
            <w:vAlign w:val="center"/>
          </w:tcPr>
          <w:p w14:paraId="052CEB6F" w14:textId="77777777" w:rsidR="00FA0A7C" w:rsidRPr="004C4F6D" w:rsidRDefault="00FA0A7C" w:rsidP="004C4F6D">
            <w:pPr>
              <w:spacing w:after="0" w:line="240" w:lineRule="auto"/>
              <w:ind w:left="-22" w:right="140"/>
              <w:rPr>
                <w:rFonts w:ascii="Arial" w:eastAsia="Arial Narrow" w:hAnsi="Arial" w:cs="Arial"/>
                <w:sz w:val="18"/>
                <w:szCs w:val="18"/>
              </w:rPr>
            </w:pPr>
            <w:r w:rsidRPr="004C4F6D">
              <w:rPr>
                <w:rFonts w:ascii="Arial" w:eastAsia="Arial Narrow" w:hAnsi="Arial" w:cs="Arial"/>
                <w:sz w:val="18"/>
                <w:szCs w:val="18"/>
              </w:rPr>
              <w:t>LLFC</w:t>
            </w:r>
          </w:p>
        </w:tc>
        <w:tc>
          <w:tcPr>
            <w:tcW w:w="1946" w:type="dxa"/>
            <w:tcBorders>
              <w:bottom w:val="single" w:sz="4" w:space="0" w:color="auto"/>
            </w:tcBorders>
            <w:vAlign w:val="center"/>
          </w:tcPr>
          <w:p w14:paraId="2750C19D"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789,413,041.58</w:t>
            </w:r>
          </w:p>
        </w:tc>
        <w:tc>
          <w:tcPr>
            <w:tcW w:w="1946" w:type="dxa"/>
            <w:tcBorders>
              <w:bottom w:val="single" w:sz="4" w:space="0" w:color="auto"/>
            </w:tcBorders>
            <w:vAlign w:val="center"/>
          </w:tcPr>
          <w:p w14:paraId="60207807" w14:textId="77777777" w:rsidR="00FA0A7C" w:rsidRPr="004C4F6D" w:rsidRDefault="00FA0A7C" w:rsidP="004C4F6D">
            <w:pPr>
              <w:spacing w:after="0" w:line="240" w:lineRule="auto"/>
              <w:ind w:right="-66"/>
              <w:jc w:val="right"/>
              <w:rPr>
                <w:rFonts w:ascii="Arial" w:eastAsia="Arial Narrow" w:hAnsi="Arial" w:cs="Arial"/>
                <w:sz w:val="18"/>
                <w:szCs w:val="18"/>
              </w:rPr>
            </w:pPr>
            <w:r w:rsidRPr="004C4F6D">
              <w:rPr>
                <w:rFonts w:ascii="Arial" w:eastAsia="Arial Narrow" w:hAnsi="Arial" w:cs="Arial"/>
                <w:sz w:val="18"/>
                <w:szCs w:val="18"/>
              </w:rPr>
              <w:t>737,964,156.69</w:t>
            </w:r>
          </w:p>
        </w:tc>
        <w:tc>
          <w:tcPr>
            <w:tcW w:w="1701" w:type="dxa"/>
            <w:tcBorders>
              <w:bottom w:val="single" w:sz="4" w:space="0" w:color="auto"/>
            </w:tcBorders>
            <w:vAlign w:val="center"/>
          </w:tcPr>
          <w:p w14:paraId="58A99622" w14:textId="77777777" w:rsidR="00FA0A7C" w:rsidRPr="004C4F6D" w:rsidRDefault="00FA0A7C" w:rsidP="004C4F6D">
            <w:pPr>
              <w:spacing w:after="0" w:line="240" w:lineRule="auto"/>
              <w:ind w:right="-86"/>
              <w:jc w:val="right"/>
              <w:rPr>
                <w:rFonts w:ascii="Arial" w:eastAsia="Arial Narrow" w:hAnsi="Arial" w:cs="Arial"/>
                <w:sz w:val="18"/>
                <w:szCs w:val="18"/>
              </w:rPr>
            </w:pPr>
            <w:r w:rsidRPr="004C4F6D">
              <w:rPr>
                <w:rFonts w:ascii="Arial" w:eastAsia="Arial Narrow" w:hAnsi="Arial" w:cs="Arial"/>
                <w:sz w:val="18"/>
                <w:szCs w:val="18"/>
              </w:rPr>
              <w:t>51,448,884.89</w:t>
            </w:r>
          </w:p>
        </w:tc>
        <w:tc>
          <w:tcPr>
            <w:tcW w:w="1615" w:type="dxa"/>
            <w:tcBorders>
              <w:bottom w:val="single" w:sz="4" w:space="0" w:color="auto"/>
            </w:tcBorders>
            <w:vAlign w:val="center"/>
          </w:tcPr>
          <w:p w14:paraId="7CF17E46" w14:textId="77777777" w:rsidR="00FA0A7C" w:rsidRPr="004C4F6D" w:rsidRDefault="00FA0A7C" w:rsidP="004C4F6D">
            <w:pPr>
              <w:spacing w:after="0" w:line="240" w:lineRule="auto"/>
              <w:ind w:right="-99"/>
              <w:jc w:val="right"/>
              <w:rPr>
                <w:rFonts w:ascii="Arial" w:eastAsia="Arial Narrow" w:hAnsi="Arial" w:cs="Arial"/>
                <w:sz w:val="18"/>
                <w:szCs w:val="18"/>
              </w:rPr>
            </w:pPr>
            <w:r w:rsidRPr="004C4F6D">
              <w:rPr>
                <w:rFonts w:ascii="Arial" w:eastAsia="Arial Narrow" w:hAnsi="Arial" w:cs="Arial"/>
                <w:sz w:val="18"/>
                <w:szCs w:val="18"/>
              </w:rPr>
              <w:t>51,448,884.89</w:t>
            </w:r>
          </w:p>
        </w:tc>
      </w:tr>
      <w:tr w:rsidR="00FA0A7C" w:rsidRPr="004C4F6D" w14:paraId="5603B7D3" w14:textId="77777777" w:rsidTr="002F1504">
        <w:trPr>
          <w:trHeight w:hRule="exact" w:val="289"/>
        </w:trPr>
        <w:tc>
          <w:tcPr>
            <w:tcW w:w="400" w:type="dxa"/>
            <w:tcBorders>
              <w:top w:val="single" w:sz="4" w:space="0" w:color="auto"/>
              <w:bottom w:val="double" w:sz="4" w:space="0" w:color="auto"/>
            </w:tcBorders>
            <w:vAlign w:val="center"/>
          </w:tcPr>
          <w:p w14:paraId="547E93F1" w14:textId="77777777" w:rsidR="00FA0A7C" w:rsidRPr="004C4F6D" w:rsidRDefault="00FA0A7C" w:rsidP="004C4F6D">
            <w:pPr>
              <w:spacing w:after="0" w:line="240" w:lineRule="auto"/>
              <w:ind w:right="140"/>
              <w:jc w:val="right"/>
              <w:rPr>
                <w:rFonts w:ascii="Arial" w:eastAsia="Arial Narrow" w:hAnsi="Arial" w:cs="Arial"/>
                <w:sz w:val="18"/>
                <w:szCs w:val="18"/>
              </w:rPr>
            </w:pPr>
            <w:r w:rsidRPr="004C4F6D">
              <w:rPr>
                <w:rFonts w:ascii="Arial" w:eastAsia="Arial Narrow" w:hAnsi="Arial" w:cs="Arial"/>
                <w:b/>
                <w:sz w:val="18"/>
                <w:szCs w:val="18"/>
              </w:rPr>
              <w:t> </w:t>
            </w:r>
          </w:p>
        </w:tc>
        <w:tc>
          <w:tcPr>
            <w:tcW w:w="1239" w:type="dxa"/>
            <w:tcBorders>
              <w:top w:val="single" w:sz="4" w:space="0" w:color="auto"/>
              <w:bottom w:val="double" w:sz="4" w:space="0" w:color="auto"/>
            </w:tcBorders>
            <w:vAlign w:val="center"/>
          </w:tcPr>
          <w:p w14:paraId="16FE5A6C" w14:textId="77777777" w:rsidR="00FA0A7C" w:rsidRPr="004C4F6D" w:rsidRDefault="00FA0A7C" w:rsidP="004C4F6D">
            <w:pPr>
              <w:spacing w:after="0" w:line="240" w:lineRule="auto"/>
              <w:ind w:left="-22" w:right="140"/>
              <w:rPr>
                <w:rFonts w:ascii="Arial" w:eastAsia="Arial Narrow" w:hAnsi="Arial" w:cs="Arial"/>
                <w:sz w:val="18"/>
                <w:szCs w:val="18"/>
              </w:rPr>
            </w:pPr>
            <w:r w:rsidRPr="004C4F6D">
              <w:rPr>
                <w:rFonts w:ascii="Arial" w:eastAsia="Arial Narrow" w:hAnsi="Arial" w:cs="Arial"/>
                <w:b/>
                <w:sz w:val="18"/>
                <w:szCs w:val="18"/>
              </w:rPr>
              <w:t> Total</w:t>
            </w:r>
          </w:p>
        </w:tc>
        <w:tc>
          <w:tcPr>
            <w:tcW w:w="1946" w:type="dxa"/>
            <w:tcBorders>
              <w:top w:val="single" w:sz="4" w:space="0" w:color="auto"/>
              <w:bottom w:val="double" w:sz="4" w:space="0" w:color="auto"/>
            </w:tcBorders>
            <w:vAlign w:val="center"/>
          </w:tcPr>
          <w:p w14:paraId="36DF9ADB" w14:textId="77777777" w:rsidR="00FA0A7C" w:rsidRPr="004C4F6D" w:rsidRDefault="00FA0A7C" w:rsidP="004C4F6D">
            <w:pPr>
              <w:spacing w:after="0" w:line="240" w:lineRule="auto"/>
              <w:ind w:right="-66"/>
              <w:jc w:val="right"/>
              <w:rPr>
                <w:rFonts w:ascii="Arial" w:eastAsia="Arial Narrow" w:hAnsi="Arial" w:cs="Arial"/>
                <w:b/>
                <w:sz w:val="18"/>
                <w:szCs w:val="18"/>
              </w:rPr>
            </w:pPr>
            <w:r w:rsidRPr="004C4F6D">
              <w:rPr>
                <w:rFonts w:ascii="Arial" w:eastAsia="Arial Narrow" w:hAnsi="Arial" w:cs="Arial"/>
                <w:b/>
                <w:sz w:val="18"/>
                <w:szCs w:val="18"/>
              </w:rPr>
              <w:t>1,117,458,531.07</w:t>
            </w:r>
          </w:p>
        </w:tc>
        <w:tc>
          <w:tcPr>
            <w:tcW w:w="1946" w:type="dxa"/>
            <w:tcBorders>
              <w:top w:val="single" w:sz="4" w:space="0" w:color="auto"/>
              <w:bottom w:val="double" w:sz="4" w:space="0" w:color="auto"/>
            </w:tcBorders>
            <w:vAlign w:val="center"/>
          </w:tcPr>
          <w:p w14:paraId="3B44912F" w14:textId="77777777" w:rsidR="00FA0A7C" w:rsidRPr="004C4F6D" w:rsidRDefault="00FA0A7C" w:rsidP="004C4F6D">
            <w:pPr>
              <w:spacing w:after="0" w:line="240" w:lineRule="auto"/>
              <w:ind w:right="-66"/>
              <w:jc w:val="right"/>
              <w:rPr>
                <w:rFonts w:ascii="Arial" w:eastAsia="Arial Narrow" w:hAnsi="Arial" w:cs="Arial"/>
                <w:b/>
                <w:sz w:val="18"/>
                <w:szCs w:val="18"/>
              </w:rPr>
            </w:pPr>
            <w:r w:rsidRPr="004C4F6D">
              <w:rPr>
                <w:rFonts w:ascii="Arial" w:eastAsia="Arial Narrow" w:hAnsi="Arial" w:cs="Arial"/>
                <w:b/>
                <w:sz w:val="18"/>
                <w:szCs w:val="18"/>
              </w:rPr>
              <w:t>1,084,906,281.97</w:t>
            </w:r>
          </w:p>
        </w:tc>
        <w:tc>
          <w:tcPr>
            <w:tcW w:w="1701" w:type="dxa"/>
            <w:tcBorders>
              <w:top w:val="single" w:sz="4" w:space="0" w:color="auto"/>
              <w:bottom w:val="double" w:sz="4" w:space="0" w:color="auto"/>
            </w:tcBorders>
            <w:vAlign w:val="center"/>
          </w:tcPr>
          <w:p w14:paraId="508298CE" w14:textId="77777777" w:rsidR="00FA0A7C" w:rsidRPr="004C4F6D" w:rsidRDefault="00FA0A7C" w:rsidP="004C4F6D">
            <w:pPr>
              <w:spacing w:after="0" w:line="240" w:lineRule="auto"/>
              <w:ind w:right="-86"/>
              <w:jc w:val="right"/>
              <w:rPr>
                <w:rFonts w:ascii="Arial" w:eastAsia="Arial Narrow" w:hAnsi="Arial" w:cs="Arial"/>
                <w:b/>
                <w:sz w:val="18"/>
                <w:szCs w:val="18"/>
              </w:rPr>
            </w:pPr>
            <w:r w:rsidRPr="004C4F6D">
              <w:rPr>
                <w:rFonts w:ascii="Arial" w:eastAsia="Arial Narrow" w:hAnsi="Arial" w:cs="Arial"/>
                <w:b/>
                <w:sz w:val="18"/>
                <w:szCs w:val="18"/>
              </w:rPr>
              <w:t>32,552,249.10</w:t>
            </w:r>
          </w:p>
        </w:tc>
        <w:tc>
          <w:tcPr>
            <w:tcW w:w="1615" w:type="dxa"/>
            <w:tcBorders>
              <w:top w:val="single" w:sz="4" w:space="0" w:color="auto"/>
              <w:bottom w:val="double" w:sz="4" w:space="0" w:color="auto"/>
            </w:tcBorders>
            <w:vAlign w:val="center"/>
          </w:tcPr>
          <w:p w14:paraId="3D2D03C8" w14:textId="77777777" w:rsidR="00FA0A7C" w:rsidRPr="004C4F6D" w:rsidRDefault="00FA0A7C" w:rsidP="004C4F6D">
            <w:pPr>
              <w:tabs>
                <w:tab w:val="left" w:pos="1320"/>
              </w:tabs>
              <w:spacing w:after="0" w:line="240" w:lineRule="auto"/>
              <w:ind w:rightChars="-44" w:right="-97"/>
              <w:jc w:val="right"/>
              <w:rPr>
                <w:rFonts w:ascii="Arial" w:hAnsi="Arial" w:cs="Arial"/>
                <w:b/>
                <w:bCs/>
                <w:color w:val="000000"/>
                <w:sz w:val="18"/>
                <w:szCs w:val="18"/>
                <w:lang w:eastAsia="en-PH"/>
              </w:rPr>
            </w:pPr>
            <w:r w:rsidRPr="004C4F6D">
              <w:rPr>
                <w:rFonts w:ascii="Arial" w:eastAsia="Arial Narrow" w:hAnsi="Arial" w:cs="Arial"/>
                <w:b/>
                <w:sz w:val="18"/>
                <w:szCs w:val="18"/>
              </w:rPr>
              <w:t>70</w:t>
            </w:r>
            <w:r w:rsidRPr="004C4F6D">
              <w:rPr>
                <w:rFonts w:ascii="Arial" w:hAnsi="Arial" w:cs="Arial"/>
                <w:b/>
                <w:bCs/>
                <w:color w:val="000000"/>
                <w:sz w:val="18"/>
                <w:szCs w:val="18"/>
              </w:rPr>
              <w:t>,345,520.68</w:t>
            </w:r>
          </w:p>
          <w:p w14:paraId="02F6ED8C" w14:textId="77777777" w:rsidR="00FA0A7C" w:rsidRPr="004C4F6D" w:rsidRDefault="00FA0A7C" w:rsidP="004C4F6D">
            <w:pPr>
              <w:spacing w:after="0" w:line="240" w:lineRule="auto"/>
              <w:ind w:right="-99"/>
              <w:jc w:val="right"/>
              <w:rPr>
                <w:rFonts w:ascii="Arial" w:eastAsia="Arial Narrow" w:hAnsi="Arial" w:cs="Arial"/>
                <w:b/>
                <w:sz w:val="18"/>
                <w:szCs w:val="18"/>
              </w:rPr>
            </w:pPr>
          </w:p>
        </w:tc>
      </w:tr>
    </w:tbl>
    <w:p w14:paraId="2A4EFECD" w14:textId="77777777" w:rsidR="00FA0A7C" w:rsidRPr="004C4F6D" w:rsidRDefault="00FA0A7C" w:rsidP="004C4F6D">
      <w:pPr>
        <w:pStyle w:val="ListParagraph"/>
        <w:spacing w:after="0" w:line="240" w:lineRule="auto"/>
        <w:rPr>
          <w:rFonts w:ascii="Arial" w:eastAsia="Arial Narrow" w:hAnsi="Arial" w:cs="Arial"/>
          <w:color w:val="000000"/>
        </w:rPr>
      </w:pPr>
    </w:p>
    <w:p w14:paraId="3391C8F4" w14:textId="77777777" w:rsidR="00FA0A7C" w:rsidRPr="004C4F6D" w:rsidRDefault="00FA0A7C"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Management informed that a memorandum dated December 12, 2022 concerning the setting up of accruals on LBP subsidiaries billings on a monthly basis was issued to all units. Other than this advisory, there were no other written guidelines to be followed for consistency of application and compliance on reconciliation of intragroup receivables and payables within specified timelines by the parent and the subsidiaries.</w:t>
      </w:r>
    </w:p>
    <w:p w14:paraId="7AD7013E" w14:textId="77777777" w:rsidR="00FA0A7C" w:rsidRPr="004C4F6D" w:rsidRDefault="00FA0A7C" w:rsidP="004C4F6D">
      <w:pPr>
        <w:pStyle w:val="ListParagraph"/>
        <w:autoSpaceDE w:val="0"/>
        <w:autoSpaceDN w:val="0"/>
        <w:adjustRightInd w:val="0"/>
        <w:spacing w:after="0" w:line="240" w:lineRule="auto"/>
        <w:ind w:left="0"/>
        <w:jc w:val="both"/>
        <w:rPr>
          <w:rFonts w:ascii="Arial" w:eastAsia="Arial Narrow" w:hAnsi="Arial" w:cs="Arial"/>
          <w:color w:val="000000"/>
          <w:lang w:val="en-US"/>
        </w:rPr>
      </w:pPr>
    </w:p>
    <w:p w14:paraId="2557A81A" w14:textId="2D47E38B" w:rsidR="00FA0A7C" w:rsidRPr="004C4F6D" w:rsidRDefault="00FA0A7C"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rPr>
        <w:t xml:space="preserve">The receivable from OFB of P5,949,774.85 are still undergoing reconciliation, while P1,119,637.41 from </w:t>
      </w:r>
      <w:r w:rsidR="00720412">
        <w:rPr>
          <w:rFonts w:ascii="Arial" w:eastAsia="Arial Narrow" w:hAnsi="Arial" w:cs="Arial"/>
        </w:rPr>
        <w:t>LBP Resources and Development Corporation (</w:t>
      </w:r>
      <w:r w:rsidRPr="004C4F6D">
        <w:rPr>
          <w:rFonts w:ascii="Arial" w:eastAsia="Arial Narrow" w:hAnsi="Arial" w:cs="Arial"/>
        </w:rPr>
        <w:t>LBRDC</w:t>
      </w:r>
      <w:r w:rsidR="00720412">
        <w:rPr>
          <w:rFonts w:ascii="Arial" w:eastAsia="Arial Narrow" w:hAnsi="Arial" w:cs="Arial"/>
        </w:rPr>
        <w:t>)</w:t>
      </w:r>
      <w:r w:rsidRPr="004C4F6D">
        <w:rPr>
          <w:rFonts w:ascii="Arial" w:eastAsia="Arial Narrow" w:hAnsi="Arial" w:cs="Arial"/>
        </w:rPr>
        <w:t xml:space="preserve"> and </w:t>
      </w:r>
      <w:r w:rsidR="00720412">
        <w:rPr>
          <w:rFonts w:ascii="Arial" w:eastAsia="Arial Narrow" w:hAnsi="Arial" w:cs="Arial"/>
        </w:rPr>
        <w:t>LBP Leasing and Finance Corporation (</w:t>
      </w:r>
      <w:r w:rsidRPr="004C4F6D">
        <w:rPr>
          <w:rFonts w:ascii="Arial" w:eastAsia="Arial Narrow" w:hAnsi="Arial" w:cs="Arial"/>
        </w:rPr>
        <w:t>LLFC</w:t>
      </w:r>
      <w:r w:rsidR="00720412">
        <w:rPr>
          <w:rFonts w:ascii="Arial" w:eastAsia="Arial Narrow" w:hAnsi="Arial" w:cs="Arial"/>
        </w:rPr>
        <w:t>)</w:t>
      </w:r>
      <w:r w:rsidRPr="004C4F6D">
        <w:rPr>
          <w:rFonts w:ascii="Arial" w:eastAsia="Arial Narrow" w:hAnsi="Arial" w:cs="Arial"/>
        </w:rPr>
        <w:t xml:space="preserve"> relates to the difference in accounting between parent and subsidiary, adjustments made by the parent that were not recorded in the subsidiary books. The total P70,345,520.68 payables to LBRDC and LLFC, on the other hand, all remain unreconciled.</w:t>
      </w:r>
    </w:p>
    <w:p w14:paraId="2ED8BB99" w14:textId="77777777" w:rsidR="00FA0A7C" w:rsidRPr="004C4F6D" w:rsidRDefault="00FA0A7C" w:rsidP="004C4F6D">
      <w:pPr>
        <w:pStyle w:val="ListParagraph"/>
        <w:autoSpaceDE w:val="0"/>
        <w:autoSpaceDN w:val="0"/>
        <w:adjustRightInd w:val="0"/>
        <w:spacing w:after="0" w:line="240" w:lineRule="auto"/>
        <w:ind w:left="0"/>
        <w:jc w:val="both"/>
        <w:rPr>
          <w:rFonts w:ascii="Arial" w:eastAsia="Arial Narrow" w:hAnsi="Arial" w:cs="Arial"/>
          <w:color w:val="000000" w:themeColor="text1"/>
        </w:rPr>
      </w:pPr>
    </w:p>
    <w:p w14:paraId="60C68F8B" w14:textId="157E0556" w:rsidR="000434FC" w:rsidRPr="004C4F6D" w:rsidRDefault="00FA0A7C" w:rsidP="006460E1">
      <w:pPr>
        <w:pStyle w:val="ListParagraph"/>
        <w:numPr>
          <w:ilvl w:val="1"/>
          <w:numId w:val="4"/>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themeColor="text1"/>
        </w:rPr>
        <w:t>These</w:t>
      </w:r>
      <w:r w:rsidRPr="004C4F6D">
        <w:rPr>
          <w:rFonts w:ascii="Arial" w:eastAsia="Arial Narrow" w:hAnsi="Arial" w:cs="Arial"/>
          <w:color w:val="000000"/>
        </w:rPr>
        <w:t xml:space="preserve"> unreconciled variances in the intragroup receivables and payables accounts between LBP and three (3) subsidiaries amounting to P7.069 million and P70.346 million</w:t>
      </w:r>
      <w:r w:rsidRPr="004C4F6D">
        <w:rPr>
          <w:rFonts w:ascii="Arial" w:eastAsia="Arial Narrow" w:hAnsi="Arial" w:cs="Arial"/>
        </w:rPr>
        <w:t xml:space="preserve">, </w:t>
      </w:r>
      <w:r w:rsidRPr="004C4F6D">
        <w:rPr>
          <w:rFonts w:ascii="Arial" w:eastAsia="Arial Narrow" w:hAnsi="Arial" w:cs="Arial"/>
          <w:color w:val="000000"/>
        </w:rPr>
        <w:t>respectively, as at December 31, 2022, which were not fully eliminated in the consolidation affected the faithful representation of the account balances in the consolidated FS of the LBP group, contrary to PAS 1 and PFRS 10</w:t>
      </w:r>
      <w:r w:rsidR="00BD2C62" w:rsidRPr="004C4F6D">
        <w:rPr>
          <w:rFonts w:ascii="Arial" w:eastAsia="Arial Narrow" w:hAnsi="Arial" w:cs="Arial"/>
          <w:color w:val="000000"/>
        </w:rPr>
        <w:t>.</w:t>
      </w:r>
    </w:p>
    <w:p w14:paraId="1E9F6925" w14:textId="77777777" w:rsidR="00BD2C62" w:rsidRPr="004C4F6D" w:rsidRDefault="00BD2C62" w:rsidP="004C4F6D">
      <w:pPr>
        <w:pStyle w:val="ListParagraph"/>
        <w:autoSpaceDE w:val="0"/>
        <w:autoSpaceDN w:val="0"/>
        <w:adjustRightInd w:val="0"/>
        <w:spacing w:after="0" w:line="240" w:lineRule="auto"/>
        <w:ind w:left="0"/>
        <w:jc w:val="both"/>
        <w:rPr>
          <w:rFonts w:ascii="Arial" w:eastAsia="Arial Narrow" w:hAnsi="Arial" w:cs="Arial"/>
          <w:color w:val="000000" w:themeColor="text1"/>
        </w:rPr>
      </w:pPr>
    </w:p>
    <w:p w14:paraId="3B37B59A" w14:textId="785B23B6" w:rsidR="00312FC6" w:rsidRPr="004C4F6D" w:rsidRDefault="003919DE" w:rsidP="004C4F6D">
      <w:pPr>
        <w:pStyle w:val="ListParagraph"/>
        <w:numPr>
          <w:ilvl w:val="1"/>
          <w:numId w:val="4"/>
        </w:numPr>
        <w:autoSpaceDE w:val="0"/>
        <w:autoSpaceDN w:val="0"/>
        <w:adjustRightInd w:val="0"/>
        <w:spacing w:after="0" w:line="240" w:lineRule="auto"/>
        <w:ind w:left="0" w:firstLine="0"/>
        <w:jc w:val="both"/>
        <w:rPr>
          <w:rFonts w:ascii="Arial" w:eastAsia="Times New Roman" w:hAnsi="Arial" w:cs="Arial"/>
          <w:b/>
          <w:lang w:val="en-US"/>
        </w:rPr>
      </w:pPr>
      <w:r w:rsidRPr="004C4F6D">
        <w:rPr>
          <w:rFonts w:ascii="Arial" w:eastAsia="Times New Roman" w:hAnsi="Arial" w:cs="Arial"/>
          <w:b/>
          <w:lang w:val="en-US"/>
        </w:rPr>
        <w:t xml:space="preserve">We recommended </w:t>
      </w:r>
      <w:r w:rsidR="00B55E06" w:rsidRPr="004C4F6D">
        <w:rPr>
          <w:rFonts w:ascii="Arial" w:eastAsia="Times New Roman" w:hAnsi="Arial" w:cs="Arial"/>
          <w:b/>
          <w:lang w:val="en-US"/>
        </w:rPr>
        <w:t>and</w:t>
      </w:r>
      <w:r w:rsidRPr="004C4F6D">
        <w:rPr>
          <w:rFonts w:ascii="Arial" w:eastAsia="Times New Roman" w:hAnsi="Arial" w:cs="Arial"/>
          <w:b/>
          <w:lang w:val="en-US"/>
        </w:rPr>
        <w:t xml:space="preserve"> Management</w:t>
      </w:r>
      <w:r w:rsidR="00B55E06" w:rsidRPr="004C4F6D">
        <w:rPr>
          <w:rFonts w:ascii="Arial" w:eastAsia="Times New Roman" w:hAnsi="Arial" w:cs="Arial"/>
          <w:b/>
          <w:lang w:val="en-US"/>
        </w:rPr>
        <w:t xml:space="preserve"> agreed to</w:t>
      </w:r>
      <w:r w:rsidRPr="004C4F6D">
        <w:rPr>
          <w:rFonts w:ascii="Arial" w:hAnsi="Arial" w:cs="Arial"/>
          <w:b/>
        </w:rPr>
        <w:t>:</w:t>
      </w:r>
    </w:p>
    <w:p w14:paraId="633EAF15" w14:textId="77777777" w:rsidR="00312FC6" w:rsidRPr="004C4F6D" w:rsidRDefault="00312FC6" w:rsidP="004C4F6D">
      <w:pPr>
        <w:pStyle w:val="ListParagraph"/>
        <w:spacing w:after="0" w:line="240" w:lineRule="auto"/>
        <w:rPr>
          <w:rFonts w:ascii="Arial" w:eastAsia="Arial Narrow" w:hAnsi="Arial" w:cs="Arial"/>
          <w:b/>
          <w:color w:val="000000"/>
        </w:rPr>
      </w:pPr>
    </w:p>
    <w:p w14:paraId="76CFA62C" w14:textId="54369323" w:rsidR="00312FC6" w:rsidRPr="004C4F6D" w:rsidRDefault="00732442" w:rsidP="004C4F6D">
      <w:pPr>
        <w:numPr>
          <w:ilvl w:val="0"/>
          <w:numId w:val="5"/>
        </w:numPr>
        <w:spacing w:after="0" w:line="240" w:lineRule="auto"/>
        <w:ind w:leftChars="300" w:left="660" w:right="7"/>
        <w:jc w:val="both"/>
        <w:rPr>
          <w:rFonts w:ascii="Arial" w:eastAsia="Arial Narrow" w:hAnsi="Arial" w:cs="Arial"/>
        </w:rPr>
      </w:pPr>
      <w:r w:rsidRPr="004C4F6D">
        <w:rPr>
          <w:rFonts w:ascii="Arial" w:eastAsia="Arial Narrow" w:hAnsi="Arial" w:cs="Arial"/>
          <w:b/>
        </w:rPr>
        <w:t>Continue to e</w:t>
      </w:r>
      <w:r w:rsidR="003919DE" w:rsidRPr="004C4F6D">
        <w:rPr>
          <w:rFonts w:ascii="Arial" w:eastAsia="Arial Narrow" w:hAnsi="Arial" w:cs="Arial"/>
          <w:b/>
        </w:rPr>
        <w:t xml:space="preserve">stablish </w:t>
      </w:r>
      <w:r w:rsidRPr="004C4F6D">
        <w:rPr>
          <w:rFonts w:ascii="Arial" w:eastAsia="Arial Narrow" w:hAnsi="Arial" w:cs="Arial"/>
          <w:b/>
        </w:rPr>
        <w:t>within specified timelines t</w:t>
      </w:r>
      <w:r w:rsidR="003919DE" w:rsidRPr="004C4F6D">
        <w:rPr>
          <w:rFonts w:ascii="Arial" w:eastAsia="Arial Narrow" w:hAnsi="Arial" w:cs="Arial"/>
          <w:b/>
        </w:rPr>
        <w:t xml:space="preserve">he </w:t>
      </w:r>
      <w:r w:rsidR="008760C5" w:rsidRPr="004C4F6D">
        <w:rPr>
          <w:rFonts w:ascii="Arial" w:eastAsia="Arial Narrow" w:hAnsi="Arial" w:cs="Arial"/>
          <w:b/>
        </w:rPr>
        <w:t xml:space="preserve">balances of </w:t>
      </w:r>
      <w:r w:rsidR="003919DE" w:rsidRPr="004C4F6D">
        <w:rPr>
          <w:rFonts w:ascii="Arial" w:eastAsia="Arial Narrow" w:hAnsi="Arial" w:cs="Arial"/>
          <w:b/>
        </w:rPr>
        <w:t>receivable</w:t>
      </w:r>
      <w:r w:rsidRPr="004C4F6D">
        <w:rPr>
          <w:rFonts w:ascii="Arial" w:eastAsia="Arial Narrow" w:hAnsi="Arial" w:cs="Arial"/>
          <w:b/>
        </w:rPr>
        <w:t xml:space="preserve">s from </w:t>
      </w:r>
      <w:r w:rsidR="003919DE" w:rsidRPr="004C4F6D">
        <w:rPr>
          <w:rFonts w:ascii="Arial" w:eastAsia="Arial Narrow" w:hAnsi="Arial" w:cs="Arial"/>
          <w:b/>
        </w:rPr>
        <w:t>and payable</w:t>
      </w:r>
      <w:r w:rsidRPr="004C4F6D">
        <w:rPr>
          <w:rFonts w:ascii="Arial" w:eastAsia="Arial Narrow" w:hAnsi="Arial" w:cs="Arial"/>
          <w:b/>
        </w:rPr>
        <w:t>s to</w:t>
      </w:r>
      <w:r w:rsidR="003919DE" w:rsidRPr="004C4F6D">
        <w:rPr>
          <w:rFonts w:ascii="Arial" w:eastAsia="Arial Narrow" w:hAnsi="Arial" w:cs="Arial"/>
          <w:b/>
        </w:rPr>
        <w:t xml:space="preserve"> the subsidiaries </w:t>
      </w:r>
      <w:r w:rsidRPr="004C4F6D">
        <w:rPr>
          <w:rFonts w:ascii="Arial" w:eastAsia="Arial Narrow" w:hAnsi="Arial" w:cs="Arial"/>
          <w:b/>
        </w:rPr>
        <w:t xml:space="preserve">by </w:t>
      </w:r>
      <w:r w:rsidR="003919DE" w:rsidRPr="004C4F6D">
        <w:rPr>
          <w:rFonts w:ascii="Arial" w:eastAsia="Arial Narrow" w:hAnsi="Arial" w:cs="Arial"/>
          <w:b/>
        </w:rPr>
        <w:t xml:space="preserve">various concerned LBP departments/units to reconcile the variances as at December 31, 2022, and </w:t>
      </w:r>
      <w:r w:rsidRPr="004C4F6D">
        <w:rPr>
          <w:rFonts w:ascii="Arial" w:eastAsia="Arial Narrow" w:hAnsi="Arial" w:cs="Arial"/>
          <w:b/>
        </w:rPr>
        <w:t xml:space="preserve">to ensure full </w:t>
      </w:r>
      <w:r w:rsidR="003919DE" w:rsidRPr="004C4F6D">
        <w:rPr>
          <w:rFonts w:ascii="Arial" w:eastAsia="Arial Narrow" w:hAnsi="Arial" w:cs="Arial"/>
          <w:b/>
        </w:rPr>
        <w:t>eliminat</w:t>
      </w:r>
      <w:r w:rsidRPr="004C4F6D">
        <w:rPr>
          <w:rFonts w:ascii="Arial" w:eastAsia="Arial Narrow" w:hAnsi="Arial" w:cs="Arial"/>
          <w:b/>
        </w:rPr>
        <w:t xml:space="preserve">ion </w:t>
      </w:r>
      <w:r w:rsidR="00640646" w:rsidRPr="004C4F6D">
        <w:rPr>
          <w:rFonts w:ascii="Arial" w:eastAsia="Arial Narrow" w:hAnsi="Arial" w:cs="Arial"/>
          <w:b/>
        </w:rPr>
        <w:t xml:space="preserve">of </w:t>
      </w:r>
      <w:r w:rsidR="003919DE" w:rsidRPr="004C4F6D">
        <w:rPr>
          <w:rFonts w:ascii="Arial" w:eastAsia="Arial Narrow" w:hAnsi="Arial" w:cs="Arial"/>
          <w:b/>
        </w:rPr>
        <w:t xml:space="preserve">intragroup accounts in the </w:t>
      </w:r>
      <w:r w:rsidRPr="004C4F6D">
        <w:rPr>
          <w:rFonts w:ascii="Arial" w:eastAsia="Arial Narrow" w:hAnsi="Arial" w:cs="Arial"/>
          <w:b/>
        </w:rPr>
        <w:t xml:space="preserve">next </w:t>
      </w:r>
      <w:r w:rsidR="003919DE" w:rsidRPr="004C4F6D">
        <w:rPr>
          <w:rFonts w:ascii="Arial" w:eastAsia="Arial Narrow" w:hAnsi="Arial" w:cs="Arial"/>
          <w:b/>
        </w:rPr>
        <w:t>consolidated financial statements; and</w:t>
      </w:r>
    </w:p>
    <w:p w14:paraId="1726D541" w14:textId="77777777" w:rsidR="00312FC6" w:rsidRPr="004C4F6D" w:rsidRDefault="00312FC6" w:rsidP="004C4F6D">
      <w:pPr>
        <w:spacing w:after="0" w:line="240" w:lineRule="auto"/>
        <w:ind w:leftChars="300" w:left="660" w:right="7"/>
        <w:jc w:val="both"/>
        <w:rPr>
          <w:rFonts w:ascii="Arial" w:eastAsia="Arial Narrow" w:hAnsi="Arial" w:cs="Arial"/>
          <w:b/>
          <w:color w:val="000000"/>
        </w:rPr>
      </w:pPr>
    </w:p>
    <w:p w14:paraId="47CFEE69" w14:textId="4CB787F2" w:rsidR="00312FC6" w:rsidRPr="004C4F6D" w:rsidRDefault="003919DE" w:rsidP="004C4F6D">
      <w:pPr>
        <w:numPr>
          <w:ilvl w:val="0"/>
          <w:numId w:val="5"/>
        </w:numPr>
        <w:spacing w:after="0" w:line="240" w:lineRule="auto"/>
        <w:ind w:leftChars="300" w:left="660" w:right="7"/>
        <w:jc w:val="both"/>
        <w:rPr>
          <w:rFonts w:ascii="Arial" w:eastAsia="Arial Narrow" w:hAnsi="Arial" w:cs="Arial"/>
          <w:b/>
          <w:color w:val="000000"/>
        </w:rPr>
      </w:pPr>
      <w:r w:rsidRPr="004C4F6D">
        <w:rPr>
          <w:rFonts w:ascii="Arial" w:eastAsia="Arial Narrow" w:hAnsi="Arial" w:cs="Arial"/>
          <w:b/>
        </w:rPr>
        <w:t xml:space="preserve">Formulate </w:t>
      </w:r>
      <w:r w:rsidR="000434FC" w:rsidRPr="004C4F6D">
        <w:rPr>
          <w:rFonts w:ascii="Arial" w:eastAsia="Arial Narrow" w:hAnsi="Arial" w:cs="Arial"/>
          <w:b/>
        </w:rPr>
        <w:t>and</w:t>
      </w:r>
      <w:r w:rsidR="00B6421F" w:rsidRPr="004C4F6D">
        <w:rPr>
          <w:rFonts w:ascii="Arial" w:eastAsia="Arial Narrow" w:hAnsi="Arial" w:cs="Arial"/>
          <w:b/>
        </w:rPr>
        <w:t xml:space="preserve"> </w:t>
      </w:r>
      <w:r w:rsidR="000434FC" w:rsidRPr="004C4F6D">
        <w:rPr>
          <w:rFonts w:ascii="Arial" w:eastAsia="Arial Narrow" w:hAnsi="Arial" w:cs="Arial"/>
          <w:b/>
        </w:rPr>
        <w:t xml:space="preserve">faithfully comply with the </w:t>
      </w:r>
      <w:r w:rsidRPr="004C4F6D">
        <w:rPr>
          <w:rFonts w:ascii="Arial" w:eastAsia="Arial Narrow" w:hAnsi="Arial" w:cs="Arial"/>
          <w:b/>
        </w:rPr>
        <w:t>guidelines on the periodic reconciliation of intragroup receivables and payables with the subsidiaries, to include the matter also on the exchanges between LBP and its subsidiaries of summary of transactions and supporting documents within specific timelines, to determine a common ground for the booking of the transactions</w:t>
      </w:r>
      <w:r w:rsidRPr="004C4F6D">
        <w:rPr>
          <w:rFonts w:ascii="Arial" w:eastAsia="Arial Narrow" w:hAnsi="Arial" w:cs="Arial"/>
          <w:b/>
          <w:color w:val="000000"/>
        </w:rPr>
        <w:t>.</w:t>
      </w:r>
    </w:p>
    <w:p w14:paraId="0249CA69" w14:textId="506025E4" w:rsidR="00312FC6" w:rsidRPr="004C4F6D" w:rsidRDefault="00312FC6" w:rsidP="004C4F6D">
      <w:pPr>
        <w:spacing w:after="0" w:line="240" w:lineRule="auto"/>
        <w:jc w:val="both"/>
        <w:rPr>
          <w:rFonts w:ascii="Arial" w:eastAsia="Arial Narrow" w:hAnsi="Arial" w:cs="Arial"/>
          <w:color w:val="000000"/>
        </w:rPr>
      </w:pPr>
    </w:p>
    <w:p w14:paraId="139A8674" w14:textId="77777777" w:rsidR="002C32C8" w:rsidRPr="004C4F6D" w:rsidRDefault="002C32C8" w:rsidP="004C4F6D">
      <w:pPr>
        <w:spacing w:after="0" w:line="240" w:lineRule="auto"/>
        <w:jc w:val="both"/>
        <w:rPr>
          <w:rFonts w:ascii="Arial" w:eastAsia="Arial Narrow" w:hAnsi="Arial" w:cs="Arial"/>
          <w:color w:val="000000"/>
        </w:rPr>
      </w:pPr>
    </w:p>
    <w:p w14:paraId="09D84D57" w14:textId="223B3A86" w:rsidR="000434FC" w:rsidRPr="004C4F6D" w:rsidRDefault="007A4EE1"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lastRenderedPageBreak/>
        <w:t>The FAD</w:t>
      </w:r>
      <w:r w:rsidR="000434FC" w:rsidRPr="004C4F6D">
        <w:rPr>
          <w:rFonts w:ascii="Arial" w:eastAsia="Arial Narrow" w:hAnsi="Arial" w:cs="Arial"/>
        </w:rPr>
        <w:t xml:space="preserve"> added that, </w:t>
      </w:r>
      <w:r w:rsidR="000434FC" w:rsidRPr="004C4F6D">
        <w:rPr>
          <w:rFonts w:ascii="Arial" w:eastAsia="Arial Narrow" w:hAnsi="Arial" w:cs="Arial"/>
          <w:color w:val="000000"/>
        </w:rPr>
        <w:t xml:space="preserve">to facilitate the resolution of the noted </w:t>
      </w:r>
      <w:r w:rsidR="00A57085" w:rsidRPr="004C4F6D">
        <w:rPr>
          <w:rFonts w:ascii="Arial" w:eastAsia="Arial Narrow" w:hAnsi="Arial" w:cs="Arial"/>
          <w:color w:val="000000"/>
        </w:rPr>
        <w:t xml:space="preserve">observations, the </w:t>
      </w:r>
      <w:r w:rsidR="000434FC" w:rsidRPr="004C4F6D">
        <w:rPr>
          <w:rFonts w:ascii="Arial" w:eastAsia="Arial Narrow" w:hAnsi="Arial" w:cs="Arial"/>
          <w:color w:val="000000"/>
        </w:rPr>
        <w:t>processing and payment of the Outsourced Manpower Services and Leased Vehicles at Head Offic</w:t>
      </w:r>
      <w:r w:rsidR="00A57085" w:rsidRPr="004C4F6D">
        <w:rPr>
          <w:rFonts w:ascii="Arial" w:eastAsia="Arial Narrow" w:hAnsi="Arial" w:cs="Arial"/>
          <w:color w:val="000000"/>
        </w:rPr>
        <w:t>e</w:t>
      </w:r>
      <w:r w:rsidR="000434FC" w:rsidRPr="004C4F6D">
        <w:rPr>
          <w:rFonts w:ascii="Arial" w:eastAsia="Arial Narrow" w:hAnsi="Arial" w:cs="Arial"/>
          <w:color w:val="000000"/>
        </w:rPr>
        <w:t xml:space="preserve"> shall be centralized through the issuance of E.O 013 s. of 2023 re: Implementing Guidelines on the Management of Leased Vehicles and Manpower Services with Third-Party Service Providers. With the implementation of the said EO effective April 3, 2023, prospectively, Management assured that the reconciling items of the related party transactions covered by the guidelines shall be lessened if not totally eliminated.</w:t>
      </w:r>
    </w:p>
    <w:p w14:paraId="0B4EA802" w14:textId="77777777" w:rsidR="000434FC" w:rsidRPr="004C4F6D" w:rsidRDefault="000434FC" w:rsidP="004C4F6D">
      <w:pPr>
        <w:pStyle w:val="ListParagraph"/>
        <w:autoSpaceDE w:val="0"/>
        <w:autoSpaceDN w:val="0"/>
        <w:adjustRightInd w:val="0"/>
        <w:spacing w:after="0" w:line="240" w:lineRule="auto"/>
        <w:ind w:left="0"/>
        <w:jc w:val="both"/>
        <w:rPr>
          <w:rFonts w:ascii="Arial" w:eastAsia="Arial Narrow" w:hAnsi="Arial" w:cs="Arial"/>
        </w:rPr>
      </w:pPr>
    </w:p>
    <w:p w14:paraId="5062D04C" w14:textId="3FB26835" w:rsidR="00312FC6" w:rsidRPr="004C4F6D" w:rsidRDefault="007A4EE1" w:rsidP="004C4F6D">
      <w:pPr>
        <w:pStyle w:val="ListParagraph"/>
        <w:numPr>
          <w:ilvl w:val="1"/>
          <w:numId w:val="4"/>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00000"/>
        </w:rPr>
        <w:t xml:space="preserve">The FAD </w:t>
      </w:r>
      <w:r w:rsidR="005625B3" w:rsidRPr="004C4F6D">
        <w:rPr>
          <w:rFonts w:ascii="Arial" w:eastAsia="Arial Narrow" w:hAnsi="Arial" w:cs="Arial"/>
          <w:color w:val="000000"/>
        </w:rPr>
        <w:t xml:space="preserve">also committed </w:t>
      </w:r>
      <w:r w:rsidRPr="004C4F6D">
        <w:rPr>
          <w:rFonts w:ascii="Arial" w:eastAsia="Arial Narrow" w:hAnsi="Arial" w:cs="Arial"/>
          <w:color w:val="000000"/>
        </w:rPr>
        <w:t>to</w:t>
      </w:r>
      <w:r w:rsidR="00A57085" w:rsidRPr="004C4F6D">
        <w:rPr>
          <w:rFonts w:ascii="Arial" w:eastAsia="Arial Narrow" w:hAnsi="Arial" w:cs="Arial"/>
          <w:color w:val="000000"/>
        </w:rPr>
        <w:t xml:space="preserve"> i</w:t>
      </w:r>
      <w:r w:rsidRPr="004C4F6D">
        <w:rPr>
          <w:rFonts w:ascii="Arial" w:hAnsi="Arial" w:cs="Arial"/>
        </w:rPr>
        <w:t>n</w:t>
      </w:r>
      <w:r w:rsidR="003919DE" w:rsidRPr="004C4F6D">
        <w:rPr>
          <w:rFonts w:ascii="Arial" w:hAnsi="Arial" w:cs="Arial"/>
        </w:rPr>
        <w:t>itiate the drafting o</w:t>
      </w:r>
      <w:r w:rsidR="009D08F1" w:rsidRPr="004C4F6D">
        <w:rPr>
          <w:rFonts w:ascii="Arial" w:hAnsi="Arial" w:cs="Arial"/>
        </w:rPr>
        <w:t>f</w:t>
      </w:r>
      <w:r w:rsidR="003919DE" w:rsidRPr="004C4F6D">
        <w:rPr>
          <w:rFonts w:ascii="Arial" w:hAnsi="Arial" w:cs="Arial"/>
        </w:rPr>
        <w:t xml:space="preserve"> Guidelines on Accounting for Intragroup Accounts in coordination with all concerned units/departments/related third parties (SMD/Proponent Units). </w:t>
      </w:r>
      <w:r w:rsidR="00DA4E08" w:rsidRPr="004C4F6D">
        <w:rPr>
          <w:rFonts w:ascii="Arial" w:hAnsi="Arial" w:cs="Arial"/>
        </w:rPr>
        <w:t>The t</w:t>
      </w:r>
      <w:r w:rsidR="003919DE" w:rsidRPr="004C4F6D">
        <w:rPr>
          <w:rFonts w:ascii="Arial" w:hAnsi="Arial" w:cs="Arial"/>
        </w:rPr>
        <w:t xml:space="preserve">arget date to complete </w:t>
      </w:r>
      <w:r w:rsidR="00DA4E08" w:rsidRPr="004C4F6D">
        <w:rPr>
          <w:rFonts w:ascii="Arial" w:hAnsi="Arial" w:cs="Arial"/>
        </w:rPr>
        <w:t xml:space="preserve">the guidelines </w:t>
      </w:r>
      <w:r w:rsidR="003919DE" w:rsidRPr="004C4F6D">
        <w:rPr>
          <w:rFonts w:ascii="Arial" w:hAnsi="Arial" w:cs="Arial"/>
        </w:rPr>
        <w:t>will be within 2</w:t>
      </w:r>
      <w:r w:rsidR="003919DE" w:rsidRPr="004C4F6D">
        <w:rPr>
          <w:rFonts w:ascii="Arial" w:hAnsi="Arial" w:cs="Arial"/>
          <w:vertAlign w:val="superscript"/>
        </w:rPr>
        <w:t>nd</w:t>
      </w:r>
      <w:r w:rsidR="003919DE" w:rsidRPr="004C4F6D">
        <w:rPr>
          <w:rFonts w:ascii="Arial" w:hAnsi="Arial" w:cs="Arial"/>
        </w:rPr>
        <w:t xml:space="preserve"> quarter of CY</w:t>
      </w:r>
      <w:r w:rsidR="00D60118">
        <w:rPr>
          <w:rFonts w:ascii="Arial" w:hAnsi="Arial" w:cs="Arial"/>
        </w:rPr>
        <w:t xml:space="preserve"> </w:t>
      </w:r>
      <w:r w:rsidR="003919DE" w:rsidRPr="004C4F6D">
        <w:rPr>
          <w:rFonts w:ascii="Arial" w:hAnsi="Arial" w:cs="Arial"/>
        </w:rPr>
        <w:t>2024</w:t>
      </w:r>
      <w:r w:rsidR="00DA4E08" w:rsidRPr="004C4F6D">
        <w:rPr>
          <w:rFonts w:ascii="Arial" w:hAnsi="Arial" w:cs="Arial"/>
        </w:rPr>
        <w:t>. It will also</w:t>
      </w:r>
      <w:r w:rsidR="00A57085" w:rsidRPr="004C4F6D">
        <w:rPr>
          <w:rFonts w:ascii="Arial" w:hAnsi="Arial" w:cs="Arial"/>
        </w:rPr>
        <w:t xml:space="preserve"> r</w:t>
      </w:r>
      <w:r w:rsidR="003919DE" w:rsidRPr="004C4F6D">
        <w:rPr>
          <w:rFonts w:ascii="Arial" w:hAnsi="Arial" w:cs="Arial"/>
        </w:rPr>
        <w:t>eiterate the full compliance of the advisory dated December 12, 2022</w:t>
      </w:r>
      <w:r w:rsidR="00F62CED" w:rsidRPr="004C4F6D">
        <w:rPr>
          <w:rFonts w:ascii="Arial" w:hAnsi="Arial" w:cs="Arial"/>
        </w:rPr>
        <w:t>; and</w:t>
      </w:r>
      <w:r w:rsidR="00A57085" w:rsidRPr="004C4F6D">
        <w:rPr>
          <w:rFonts w:ascii="Arial" w:hAnsi="Arial" w:cs="Arial"/>
        </w:rPr>
        <w:t xml:space="preserve"> c</w:t>
      </w:r>
      <w:r w:rsidR="003919DE" w:rsidRPr="004C4F6D">
        <w:rPr>
          <w:rFonts w:ascii="Arial" w:hAnsi="Arial" w:cs="Arial"/>
        </w:rPr>
        <w:t>ontinue the reconciliation activity until all the reconciling items are identified and necessary adjustments are effected in the books.</w:t>
      </w:r>
    </w:p>
    <w:p w14:paraId="2FC6157D" w14:textId="77777777" w:rsidR="00A57085" w:rsidRPr="004C4F6D" w:rsidRDefault="00A57085" w:rsidP="004C4F6D">
      <w:pPr>
        <w:pStyle w:val="ListParagraph"/>
        <w:autoSpaceDE w:val="0"/>
        <w:autoSpaceDN w:val="0"/>
        <w:adjustRightInd w:val="0"/>
        <w:spacing w:after="0" w:line="240" w:lineRule="auto"/>
        <w:ind w:leftChars="300" w:left="660"/>
        <w:jc w:val="both"/>
        <w:rPr>
          <w:rFonts w:ascii="Arial" w:eastAsia="Arial Narrow" w:hAnsi="Arial" w:cs="Arial"/>
        </w:rPr>
      </w:pPr>
    </w:p>
    <w:p w14:paraId="49587075" w14:textId="77777777" w:rsidR="00FC4B0E" w:rsidRPr="004C4F6D" w:rsidRDefault="00FC4B0E" w:rsidP="004C4F6D">
      <w:pPr>
        <w:spacing w:after="0" w:line="240" w:lineRule="auto"/>
        <w:jc w:val="both"/>
        <w:rPr>
          <w:rFonts w:ascii="Arial" w:eastAsia="Times New Roman" w:hAnsi="Arial" w:cs="Arial"/>
          <w:b/>
          <w:lang w:val="en-US"/>
        </w:rPr>
      </w:pPr>
    </w:p>
    <w:p w14:paraId="60DF08C0" w14:textId="64FD0FD3" w:rsidR="00FC4B0E" w:rsidRPr="004C4F6D" w:rsidRDefault="006328F7" w:rsidP="004C4F6D">
      <w:pPr>
        <w:numPr>
          <w:ilvl w:val="0"/>
          <w:numId w:val="4"/>
        </w:numPr>
        <w:spacing w:after="0" w:line="240" w:lineRule="auto"/>
        <w:ind w:left="0" w:firstLine="0"/>
        <w:jc w:val="both"/>
        <w:rPr>
          <w:rFonts w:ascii="Arial" w:hAnsi="Arial" w:cs="Arial"/>
          <w:b/>
          <w:lang w:val="en-US"/>
        </w:rPr>
      </w:pPr>
      <w:r w:rsidRPr="004C4F6D">
        <w:rPr>
          <w:rFonts w:ascii="Arial" w:hAnsi="Arial"/>
          <w:b/>
          <w:lang w:val="en-US"/>
        </w:rPr>
        <w:t>Pre-merger</w:t>
      </w:r>
      <w:r w:rsidR="004E00D7" w:rsidRPr="004C4F6D">
        <w:rPr>
          <w:rFonts w:ascii="Arial" w:hAnsi="Arial"/>
          <w:b/>
          <w:lang w:val="en-US"/>
        </w:rPr>
        <w:t>/merger i</w:t>
      </w:r>
      <w:r w:rsidR="00FC4B0E" w:rsidRPr="004C4F6D">
        <w:rPr>
          <w:rFonts w:ascii="Arial" w:hAnsi="Arial"/>
          <w:b/>
          <w:lang w:val="en-US"/>
        </w:rPr>
        <w:t>nventory and validations</w:t>
      </w:r>
      <w:r w:rsidR="00236F19" w:rsidRPr="004C4F6D">
        <w:rPr>
          <w:rFonts w:ascii="Arial" w:hAnsi="Arial"/>
          <w:b/>
          <w:lang w:val="en-US"/>
        </w:rPr>
        <w:t xml:space="preserve"> </w:t>
      </w:r>
      <w:r w:rsidR="00FC4B0E" w:rsidRPr="004C4F6D">
        <w:rPr>
          <w:rFonts w:ascii="Arial" w:hAnsi="Arial"/>
          <w:b/>
          <w:lang w:val="en-US"/>
        </w:rPr>
        <w:t>of loan records and accountabilities turned over by UCPB</w:t>
      </w:r>
      <w:r w:rsidR="00236F19" w:rsidRPr="004C4F6D">
        <w:rPr>
          <w:rFonts w:ascii="Arial" w:hAnsi="Arial"/>
          <w:b/>
          <w:lang w:val="en-US"/>
        </w:rPr>
        <w:t>,</w:t>
      </w:r>
      <w:r w:rsidR="00FC4B0E" w:rsidRPr="004C4F6D">
        <w:rPr>
          <w:rFonts w:ascii="Arial" w:hAnsi="Arial"/>
          <w:b/>
          <w:lang w:val="en-US"/>
        </w:rPr>
        <w:t xml:space="preserve"> and verification</w:t>
      </w:r>
      <w:r w:rsidR="004C4F6D" w:rsidRPr="004C4F6D">
        <w:rPr>
          <w:rFonts w:ascii="Arial" w:hAnsi="Arial"/>
          <w:b/>
          <w:lang w:val="en-US"/>
        </w:rPr>
        <w:t>/ confirmation</w:t>
      </w:r>
      <w:r w:rsidR="00FC4B0E" w:rsidRPr="004C4F6D">
        <w:rPr>
          <w:rFonts w:ascii="Arial" w:hAnsi="Arial"/>
          <w:b/>
          <w:lang w:val="en-US"/>
        </w:rPr>
        <w:t xml:space="preserve"> of the existence of subsidiary ledger (SL) items were not </w:t>
      </w:r>
      <w:r w:rsidR="004E00D7" w:rsidRPr="004C4F6D">
        <w:rPr>
          <w:rFonts w:ascii="Arial" w:hAnsi="Arial"/>
          <w:b/>
          <w:lang w:val="en-US"/>
        </w:rPr>
        <w:t xml:space="preserve">yet </w:t>
      </w:r>
      <w:r w:rsidR="00FC4B0E" w:rsidRPr="004C4F6D">
        <w:rPr>
          <w:rFonts w:ascii="Arial" w:hAnsi="Arial"/>
          <w:b/>
          <w:lang w:val="en-US"/>
        </w:rPr>
        <w:t>completed as at year-end</w:t>
      </w:r>
      <w:r w:rsidR="00236F19" w:rsidRPr="004C4F6D">
        <w:rPr>
          <w:rFonts w:ascii="Arial" w:hAnsi="Arial"/>
          <w:b/>
          <w:lang w:val="en-US"/>
        </w:rPr>
        <w:t xml:space="preserve"> by LBP</w:t>
      </w:r>
      <w:r w:rsidR="00FC4B0E" w:rsidRPr="004C4F6D">
        <w:rPr>
          <w:rFonts w:ascii="Arial" w:hAnsi="Arial"/>
          <w:b/>
          <w:lang w:val="en-US"/>
        </w:rPr>
        <w:t xml:space="preserve">, contrary to LBP EO Nos. 104 and 109, thus, affecting the faithful </w:t>
      </w:r>
      <w:r w:rsidR="004C4F6D" w:rsidRPr="004C4F6D">
        <w:rPr>
          <w:rFonts w:ascii="Arial" w:hAnsi="Arial"/>
          <w:b/>
          <w:lang w:val="en-US"/>
        </w:rPr>
        <w:t>representation of the</w:t>
      </w:r>
      <w:r w:rsidR="00FC4B0E" w:rsidRPr="004C4F6D">
        <w:rPr>
          <w:rFonts w:ascii="Arial" w:hAnsi="Arial"/>
          <w:b/>
          <w:lang w:val="en-US"/>
        </w:rPr>
        <w:t xml:space="preserve"> transferred UCPB loans and receivable balances of P92.486 </w:t>
      </w:r>
      <w:r w:rsidR="00232C2D" w:rsidRPr="004C4F6D">
        <w:rPr>
          <w:rFonts w:ascii="Arial" w:hAnsi="Arial"/>
          <w:b/>
          <w:lang w:val="en-US"/>
        </w:rPr>
        <w:t>billion and</w:t>
      </w:r>
      <w:r w:rsidR="00FC4B0E" w:rsidRPr="004C4F6D">
        <w:rPr>
          <w:rFonts w:ascii="Arial" w:hAnsi="Arial"/>
          <w:b/>
          <w:lang w:val="en-US"/>
        </w:rPr>
        <w:t xml:space="preserve"> other related </w:t>
      </w:r>
      <w:r w:rsidR="00232C2D" w:rsidRPr="004C4F6D">
        <w:rPr>
          <w:rFonts w:ascii="Arial" w:hAnsi="Arial"/>
          <w:b/>
          <w:lang w:val="en-US"/>
        </w:rPr>
        <w:t>accounts in</w:t>
      </w:r>
      <w:r w:rsidR="00FC4B0E" w:rsidRPr="004C4F6D">
        <w:rPr>
          <w:rFonts w:ascii="Arial" w:hAnsi="Arial"/>
          <w:b/>
          <w:lang w:val="en-US"/>
        </w:rPr>
        <w:t xml:space="preserve"> the </w:t>
      </w:r>
      <w:r w:rsidR="00236F19" w:rsidRPr="004C4F6D">
        <w:rPr>
          <w:rFonts w:ascii="Arial" w:hAnsi="Arial"/>
          <w:b/>
          <w:lang w:val="en-US"/>
        </w:rPr>
        <w:t>f</w:t>
      </w:r>
      <w:r w:rsidR="00FC4B0E" w:rsidRPr="004C4F6D">
        <w:rPr>
          <w:rFonts w:ascii="Arial" w:hAnsi="Arial"/>
          <w:b/>
          <w:lang w:val="en-US"/>
        </w:rPr>
        <w:t xml:space="preserve">inancial </w:t>
      </w:r>
      <w:r w:rsidR="00236F19" w:rsidRPr="004C4F6D">
        <w:rPr>
          <w:rFonts w:ascii="Arial" w:hAnsi="Arial"/>
          <w:b/>
          <w:lang w:val="en-US"/>
        </w:rPr>
        <w:t>s</w:t>
      </w:r>
      <w:r w:rsidR="00FC4B0E" w:rsidRPr="004C4F6D">
        <w:rPr>
          <w:rFonts w:ascii="Arial" w:hAnsi="Arial"/>
          <w:b/>
          <w:lang w:val="en-US"/>
        </w:rPr>
        <w:t xml:space="preserve">tatements as </w:t>
      </w:r>
      <w:r w:rsidR="004E00D7" w:rsidRPr="004C4F6D">
        <w:rPr>
          <w:rFonts w:ascii="Arial" w:hAnsi="Arial"/>
          <w:b/>
          <w:lang w:val="en-US"/>
        </w:rPr>
        <w:t xml:space="preserve">at </w:t>
      </w:r>
      <w:r w:rsidR="00FC4B0E" w:rsidRPr="004C4F6D">
        <w:rPr>
          <w:rFonts w:ascii="Arial" w:hAnsi="Arial"/>
          <w:b/>
          <w:lang w:val="en-US"/>
        </w:rPr>
        <w:t>December 31, 2022.</w:t>
      </w:r>
    </w:p>
    <w:p w14:paraId="675F9C31" w14:textId="77777777" w:rsidR="00FC4B0E" w:rsidRPr="004C4F6D" w:rsidRDefault="00FC4B0E" w:rsidP="004C4F6D">
      <w:pPr>
        <w:spacing w:after="0" w:line="240" w:lineRule="auto"/>
        <w:jc w:val="both"/>
        <w:rPr>
          <w:rFonts w:ascii="Arial" w:hAnsi="Arial" w:cs="Arial"/>
          <w:b/>
          <w:lang w:val="en-US"/>
        </w:rPr>
      </w:pPr>
    </w:p>
    <w:p w14:paraId="25CC7F77" w14:textId="37E1DCD4"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E101A"/>
        </w:rPr>
        <w:t>Paragraph</w:t>
      </w:r>
      <w:r w:rsidRPr="004C4F6D">
        <w:rPr>
          <w:rFonts w:ascii="Arial" w:eastAsia="Arial Narrow" w:hAnsi="Arial" w:cs="Arial"/>
        </w:rPr>
        <w:t xml:space="preserve"> 2.12 of the Conceptual Framework </w:t>
      </w:r>
      <w:r w:rsidR="009D08F1" w:rsidRPr="004C4F6D">
        <w:rPr>
          <w:rFonts w:ascii="Arial" w:eastAsia="Arial Narrow" w:hAnsi="Arial" w:cs="Arial"/>
        </w:rPr>
        <w:t xml:space="preserve">for Financial Reporting </w:t>
      </w:r>
      <w:r w:rsidRPr="004C4F6D">
        <w:rPr>
          <w:rFonts w:ascii="Arial" w:eastAsia="Arial Narrow" w:hAnsi="Arial" w:cs="Arial"/>
        </w:rPr>
        <w:t>provides</w:t>
      </w:r>
      <w:r w:rsidR="00B6421F" w:rsidRPr="004C4F6D">
        <w:rPr>
          <w:rFonts w:ascii="Arial" w:eastAsia="Arial Narrow" w:hAnsi="Arial" w:cs="Arial"/>
        </w:rPr>
        <w:t>:</w:t>
      </w:r>
    </w:p>
    <w:p w14:paraId="3142B5AC" w14:textId="77777777" w:rsidR="00FC4B0E" w:rsidRPr="004C4F6D" w:rsidRDefault="00FC4B0E" w:rsidP="004C4F6D">
      <w:pPr>
        <w:pStyle w:val="ListParagraph"/>
        <w:autoSpaceDE w:val="0"/>
        <w:autoSpaceDN w:val="0"/>
        <w:adjustRightInd w:val="0"/>
        <w:spacing w:after="0" w:line="240" w:lineRule="auto"/>
        <w:ind w:left="851" w:firstLine="425"/>
        <w:jc w:val="both"/>
        <w:rPr>
          <w:rFonts w:ascii="Arial" w:hAnsi="Arial" w:cs="Arial"/>
        </w:rPr>
      </w:pPr>
    </w:p>
    <w:p w14:paraId="67405F39" w14:textId="77777777" w:rsidR="00FC4B0E" w:rsidRPr="004C4F6D" w:rsidRDefault="00FC4B0E" w:rsidP="004C4F6D">
      <w:pPr>
        <w:pStyle w:val="ListParagraph"/>
        <w:tabs>
          <w:tab w:val="left" w:pos="7938"/>
        </w:tabs>
        <w:spacing w:after="0" w:line="240" w:lineRule="auto"/>
        <w:ind w:right="740"/>
        <w:jc w:val="both"/>
        <w:rPr>
          <w:rFonts w:ascii="Arial" w:eastAsia="Arial Narrow" w:hAnsi="Arial" w:cs="Arial"/>
          <w:i/>
        </w:rPr>
      </w:pPr>
      <w:r w:rsidRPr="004C4F6D">
        <w:rPr>
          <w:rFonts w:ascii="Arial" w:eastAsia="Arial Narrow" w:hAnsi="Arial" w:cs="Arial"/>
          <w:i/>
        </w:rPr>
        <w:t>2.12 Financial reports represent economic phenomena in words and numbers. To be useful, financial information must not only represent relevant phenomena, but it must also faithfully represent the substance of the phenomena that it purports to represent. In many circumstances, the substance of an economic phenomenon and its legal form are the same. If they are not the same, providing information only about the legal form would not faithfully represent the economic phenomenon</w:t>
      </w:r>
    </w:p>
    <w:p w14:paraId="2FBE90FD"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rPr>
      </w:pPr>
    </w:p>
    <w:p w14:paraId="0EC53CC2" w14:textId="6D6534C2" w:rsidR="001055F8" w:rsidRPr="004C4F6D" w:rsidRDefault="001055F8"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E101A"/>
        </w:rPr>
        <w:t>Moreover, paragraph 45 of PFRS 3</w:t>
      </w:r>
      <w:r w:rsidR="002F1504" w:rsidRPr="004C4F6D">
        <w:rPr>
          <w:rFonts w:ascii="Arial" w:eastAsia="Arial Narrow" w:hAnsi="Arial" w:cs="Arial"/>
          <w:color w:val="0E101A"/>
        </w:rPr>
        <w:t xml:space="preserve"> provides that</w:t>
      </w:r>
      <w:r w:rsidRPr="004C4F6D">
        <w:rPr>
          <w:rFonts w:ascii="Arial" w:eastAsia="Arial Narrow" w:hAnsi="Arial" w:cs="Arial"/>
          <w:color w:val="0E101A"/>
        </w:rPr>
        <w:t xml:space="preserve"> states:</w:t>
      </w:r>
    </w:p>
    <w:p w14:paraId="3FB89314" w14:textId="77777777" w:rsidR="001055F8" w:rsidRPr="004C4F6D" w:rsidRDefault="001055F8" w:rsidP="004C4F6D">
      <w:pPr>
        <w:pStyle w:val="ListParagraph"/>
        <w:autoSpaceDE w:val="0"/>
        <w:autoSpaceDN w:val="0"/>
        <w:adjustRightInd w:val="0"/>
        <w:spacing w:after="0" w:line="240" w:lineRule="auto"/>
        <w:ind w:left="0"/>
        <w:jc w:val="both"/>
        <w:rPr>
          <w:rFonts w:ascii="Arial" w:hAnsi="Arial" w:cs="Arial"/>
        </w:rPr>
      </w:pPr>
    </w:p>
    <w:p w14:paraId="26EF2D60" w14:textId="6E37A075" w:rsidR="001055F8" w:rsidRPr="004C4F6D" w:rsidRDefault="004E00D7" w:rsidP="004C4F6D">
      <w:pPr>
        <w:spacing w:after="0" w:line="240" w:lineRule="auto"/>
        <w:ind w:left="720" w:right="716"/>
        <w:jc w:val="both"/>
        <w:rPr>
          <w:rFonts w:ascii="Arial" w:eastAsia="Arial Narrow" w:hAnsi="Arial" w:cs="Arial"/>
          <w:color w:val="0E101A"/>
        </w:rPr>
      </w:pPr>
      <w:r w:rsidRPr="004C4F6D">
        <w:rPr>
          <w:rFonts w:ascii="Arial" w:eastAsia="Arial Narrow" w:hAnsi="Arial" w:cs="Arial"/>
          <w:i/>
          <w:color w:val="0E101A"/>
        </w:rPr>
        <w:t>“</w:t>
      </w:r>
      <w:r w:rsidR="001055F8" w:rsidRPr="004C4F6D">
        <w:rPr>
          <w:rFonts w:ascii="Arial" w:eastAsia="Arial Narrow" w:hAnsi="Arial" w:cs="Arial"/>
          <w:i/>
          <w:color w:val="0E101A"/>
        </w:rPr>
        <w:t xml:space="preserve">If the initial accounting for a business combination is incomplete by the end of the reporting period in which the combination occurs, the acquirer shall report in its financial statements provisional amounts for the items for which the accounting is incomplete. During the measurement period, the acquirer shall retrospectively adjust the provisional amounts recognised at the acquisition date to reflect new information obtained about facts and circumstances that existed as of the acquisition date and, if known, would have affected the measurement of the amounts recognized as of that date. During the measurement period, the acquirer shall also recognise additional assets or liabilities if new information is obtained about facts and circumstances that existed as of the acquisition date and, if known, would have resulted in the recognition of those assets and liabilities as of that date. The measurement period ends as soon as the acquirer receives the information it was seeking about facts and circumstances that existed as of the acquisition date or learns that more information is not obtainable. </w:t>
      </w:r>
      <w:r w:rsidR="001055F8" w:rsidRPr="004C4F6D">
        <w:rPr>
          <w:rFonts w:ascii="Arial" w:eastAsia="Arial Narrow" w:hAnsi="Arial" w:cs="Arial"/>
          <w:i/>
          <w:color w:val="0E101A"/>
        </w:rPr>
        <w:lastRenderedPageBreak/>
        <w:t>However, the measurement period shall not exceed one year from the acquisition date.”</w:t>
      </w:r>
      <w:r w:rsidR="001055F8" w:rsidRPr="004C4F6D">
        <w:rPr>
          <w:rFonts w:ascii="Arial" w:eastAsia="Arial Narrow" w:hAnsi="Arial" w:cs="Arial"/>
          <w:color w:val="0E101A"/>
        </w:rPr>
        <w:t xml:space="preserve"> </w:t>
      </w:r>
    </w:p>
    <w:p w14:paraId="62B430AB" w14:textId="77777777" w:rsidR="001055F8" w:rsidRPr="004C4F6D" w:rsidRDefault="001055F8" w:rsidP="004C4F6D">
      <w:pPr>
        <w:pStyle w:val="ListParagraph"/>
        <w:autoSpaceDE w:val="0"/>
        <w:autoSpaceDN w:val="0"/>
        <w:adjustRightInd w:val="0"/>
        <w:spacing w:after="0" w:line="240" w:lineRule="auto"/>
        <w:ind w:left="0"/>
        <w:jc w:val="both"/>
        <w:rPr>
          <w:rFonts w:ascii="Arial" w:hAnsi="Arial" w:cs="Arial"/>
        </w:rPr>
      </w:pPr>
    </w:p>
    <w:p w14:paraId="193D3D5E" w14:textId="653FFC05"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rPr>
        <w:t>Pursuant</w:t>
      </w:r>
      <w:r w:rsidRPr="004C4F6D">
        <w:rPr>
          <w:rFonts w:ascii="Arial" w:eastAsia="Arial Narrow" w:hAnsi="Arial" w:cs="Arial"/>
          <w:color w:val="0E101A"/>
        </w:rPr>
        <w:t xml:space="preserve"> to Executive Order No. 142, dated 25 June 2021, President Rodrigo Duterte signed and approved the merger between Land Bank of the Philippines (LBP) and United Coconut Planters Bank (UCPB).</w:t>
      </w:r>
    </w:p>
    <w:p w14:paraId="5D68014F"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rPr>
      </w:pPr>
    </w:p>
    <w:p w14:paraId="7A071C72" w14:textId="77777777"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 xml:space="preserve">The merger took effect on 01 March 2022, with the LBP as the surviving entity, </w:t>
      </w:r>
      <w:r w:rsidRPr="004C4F6D">
        <w:rPr>
          <w:rFonts w:ascii="Arial" w:eastAsia="Arial Narrow" w:hAnsi="Arial" w:cs="Arial"/>
          <w:color w:val="0E101A"/>
        </w:rPr>
        <w:t>hence</w:t>
      </w:r>
      <w:r w:rsidRPr="004C4F6D">
        <w:rPr>
          <w:rFonts w:ascii="Arial" w:eastAsia="Arial Narrow" w:hAnsi="Arial" w:cs="Arial"/>
        </w:rPr>
        <w:t>, UCPB was dissolved, and its assets and liabilities were transferred to LBP.</w:t>
      </w:r>
    </w:p>
    <w:p w14:paraId="7DDB3F11" w14:textId="77777777" w:rsidR="00FC4B0E" w:rsidRPr="004C4F6D" w:rsidRDefault="00FC4B0E" w:rsidP="004C4F6D">
      <w:pPr>
        <w:pStyle w:val="ListParagraph"/>
        <w:spacing w:after="0" w:line="240" w:lineRule="auto"/>
        <w:rPr>
          <w:rFonts w:ascii="Arial" w:hAnsi="Arial" w:cs="Arial"/>
        </w:rPr>
      </w:pPr>
    </w:p>
    <w:p w14:paraId="5F0F608A" w14:textId="77777777"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rPr>
        <w:t>LBP EO Nos. 104 and 109, series of 2021, both dated 17 December 2021, were issued to ensure a smooth implementation in the transfer of books of UCPB to LBP and provide uniform procedures in the turnover of documents and accountabilities of UCPB personnel to LBP.</w:t>
      </w:r>
    </w:p>
    <w:p w14:paraId="6BF78797" w14:textId="77777777" w:rsidR="00FC4B0E" w:rsidRPr="004C4F6D" w:rsidRDefault="00FC4B0E" w:rsidP="004C4F6D">
      <w:pPr>
        <w:pStyle w:val="ListParagraph"/>
        <w:spacing w:after="0" w:line="240" w:lineRule="auto"/>
        <w:rPr>
          <w:rFonts w:ascii="Arial" w:hAnsi="Arial" w:cs="Arial"/>
        </w:rPr>
      </w:pPr>
    </w:p>
    <w:p w14:paraId="1219968E" w14:textId="77777777"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 xml:space="preserve">In particular, Items B, C, and D of LBP EO No. 104, series of 2021, Guidelines on the Transfer and Booking of Assets and Liabilities and Turnover of Documents and Records of the UCPB to LBP pursuant to the merger, provided that </w:t>
      </w:r>
      <w:r w:rsidRPr="004C4F6D">
        <w:rPr>
          <w:rFonts w:ascii="Arial" w:eastAsia="Arial Narrow" w:hAnsi="Arial" w:cs="Arial"/>
          <w:i/>
        </w:rPr>
        <w:t>all LANDBANK units shall ensure that</w:t>
      </w:r>
      <w:r w:rsidRPr="004C4F6D">
        <w:rPr>
          <w:rFonts w:ascii="Arial" w:eastAsia="Arial Narrow" w:hAnsi="Arial" w:cs="Arial"/>
          <w:b/>
          <w:i/>
        </w:rPr>
        <w:t xml:space="preserve"> turnover of accountabilities, documents and records are conducted, and the existence of Subsidiary Ledger (SL) items are verified and confirmed before and/or during the merger</w:t>
      </w:r>
      <w:r w:rsidRPr="004C4F6D">
        <w:rPr>
          <w:rFonts w:ascii="Arial" w:eastAsia="Arial Narrow" w:hAnsi="Arial" w:cs="Arial"/>
          <w:i/>
        </w:rPr>
        <w:t>.</w:t>
      </w:r>
    </w:p>
    <w:p w14:paraId="7AB1923C" w14:textId="77777777" w:rsidR="00FC4B0E" w:rsidRPr="005E1567" w:rsidRDefault="00FC4B0E" w:rsidP="004C4F6D">
      <w:pPr>
        <w:pStyle w:val="ListParagraph"/>
        <w:spacing w:after="0" w:line="240" w:lineRule="auto"/>
        <w:rPr>
          <w:rFonts w:ascii="Arial" w:hAnsi="Arial" w:cs="Arial"/>
          <w:iCs/>
        </w:rPr>
      </w:pPr>
    </w:p>
    <w:p w14:paraId="09440109" w14:textId="77777777" w:rsidR="00FC4B0E" w:rsidRPr="005E1567"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iCs/>
        </w:rPr>
      </w:pPr>
      <w:r w:rsidRPr="005E1567">
        <w:rPr>
          <w:rFonts w:ascii="Arial" w:eastAsia="Arial Narrow" w:hAnsi="Arial" w:cs="Arial"/>
          <w:iCs/>
        </w:rPr>
        <w:t>For the pre-merger activities, LBP EO 104 prescribes, among others, that:</w:t>
      </w:r>
    </w:p>
    <w:p w14:paraId="10E865B4"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i/>
          <w:iCs/>
        </w:rPr>
      </w:pPr>
    </w:p>
    <w:p w14:paraId="3E925D0B" w14:textId="77777777" w:rsidR="00FC4B0E" w:rsidRPr="004C4F6D" w:rsidRDefault="00FC4B0E" w:rsidP="004C4F6D">
      <w:pPr>
        <w:pStyle w:val="ListParagraph"/>
        <w:numPr>
          <w:ilvl w:val="0"/>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t>A Masterlist of Documents and Records (Exhibit 1) shall be prepared as basis for the turnover and inventory-taking of UCPB’s documents and records. Turnover shall be performed before the merger.</w:t>
      </w:r>
    </w:p>
    <w:p w14:paraId="100840BF" w14:textId="77777777" w:rsidR="00FC4B0E" w:rsidRPr="004C4F6D" w:rsidRDefault="00FC4B0E" w:rsidP="004C4F6D">
      <w:pPr>
        <w:pStyle w:val="ListParagraph"/>
        <w:spacing w:after="0" w:line="240" w:lineRule="auto"/>
        <w:ind w:left="1701" w:right="815"/>
        <w:jc w:val="both"/>
        <w:rPr>
          <w:rFonts w:ascii="Arial" w:eastAsia="Arial Narrow" w:hAnsi="Arial" w:cs="Arial"/>
          <w:i/>
          <w:iCs/>
        </w:rPr>
      </w:pPr>
    </w:p>
    <w:p w14:paraId="27A89962" w14:textId="77777777" w:rsidR="00FC4B0E" w:rsidRPr="004C4F6D" w:rsidRDefault="00FC4B0E" w:rsidP="004C4F6D">
      <w:pPr>
        <w:pStyle w:val="ListParagraph"/>
        <w:numPr>
          <w:ilvl w:val="0"/>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b/>
          <w:i/>
          <w:iCs/>
        </w:rPr>
        <w:t>Reconciliation of the GL and the accounting/verification of SL accounts/items shall likewise, be performed before the legal merger</w:t>
      </w:r>
      <w:r w:rsidRPr="004C4F6D">
        <w:rPr>
          <w:rFonts w:ascii="Arial" w:eastAsia="Arial Narrow" w:hAnsi="Arial" w:cs="Arial"/>
          <w:i/>
          <w:iCs/>
        </w:rPr>
        <w:t>.</w:t>
      </w:r>
    </w:p>
    <w:p w14:paraId="0A110EB6" w14:textId="77777777" w:rsidR="00FC4B0E" w:rsidRPr="004C4F6D" w:rsidRDefault="00FC4B0E" w:rsidP="004C4F6D">
      <w:pPr>
        <w:pStyle w:val="ListParagraph"/>
        <w:spacing w:after="0" w:line="240" w:lineRule="auto"/>
        <w:rPr>
          <w:rFonts w:ascii="Arial" w:eastAsia="Arial Narrow" w:hAnsi="Arial" w:cs="Arial"/>
          <w:i/>
          <w:iCs/>
        </w:rPr>
      </w:pPr>
    </w:p>
    <w:p w14:paraId="4B6E01E1" w14:textId="77777777" w:rsidR="00FC4B0E" w:rsidRPr="004C4F6D" w:rsidRDefault="00FC4B0E" w:rsidP="004C4F6D">
      <w:pPr>
        <w:pStyle w:val="ListParagraph"/>
        <w:numPr>
          <w:ilvl w:val="0"/>
          <w:numId w:val="15"/>
        </w:numPr>
        <w:spacing w:after="0" w:line="240" w:lineRule="auto"/>
        <w:ind w:left="2127" w:right="716" w:hanging="687"/>
        <w:jc w:val="both"/>
        <w:rPr>
          <w:rFonts w:ascii="Arial" w:eastAsia="Arial Narrow" w:hAnsi="Arial" w:cs="Arial"/>
          <w:i/>
          <w:iCs/>
        </w:rPr>
      </w:pPr>
      <w:r w:rsidRPr="004C4F6D">
        <w:rPr>
          <w:rFonts w:ascii="Arial" w:eastAsia="Arial Narrow" w:hAnsi="Arial" w:cs="Arial"/>
          <w:i/>
          <w:iCs/>
        </w:rPr>
        <w:t>FAD shall provide the business and booking units with Schedule of the GL and/or SL accounts from the UCPB as basis for the confirmation of the existence of SL items.</w:t>
      </w:r>
    </w:p>
    <w:p w14:paraId="564B038E" w14:textId="77777777" w:rsidR="00FC4B0E" w:rsidRPr="004C4F6D" w:rsidRDefault="00FC4B0E" w:rsidP="004C4F6D">
      <w:pPr>
        <w:pStyle w:val="ListParagraph"/>
        <w:numPr>
          <w:ilvl w:val="0"/>
          <w:numId w:val="15"/>
        </w:numPr>
        <w:spacing w:after="0" w:line="240" w:lineRule="auto"/>
        <w:ind w:left="2127" w:right="716" w:hanging="687"/>
        <w:jc w:val="both"/>
        <w:rPr>
          <w:rFonts w:ascii="Arial" w:eastAsia="Arial Narrow" w:hAnsi="Arial" w:cs="Arial"/>
          <w:i/>
          <w:iCs/>
        </w:rPr>
      </w:pPr>
      <w:r w:rsidRPr="004C4F6D">
        <w:rPr>
          <w:rFonts w:ascii="Arial" w:eastAsia="Arial Narrow" w:hAnsi="Arial" w:cs="Arial"/>
          <w:b/>
          <w:i/>
          <w:iCs/>
        </w:rPr>
        <w:t>Absorbing units, in coordination with the concerned booking units, shall conduct inventory of SL items and establish validity and existence of each item</w:t>
      </w:r>
      <w:r w:rsidRPr="004C4F6D">
        <w:rPr>
          <w:rFonts w:ascii="Arial" w:eastAsia="Arial Narrow" w:hAnsi="Arial" w:cs="Arial"/>
          <w:i/>
          <w:iCs/>
        </w:rPr>
        <w:t>. Temporary GL accounts (e.g., COCI, Accounts Receivable and Payable, Sundry Debit/Credit, Due From/To) shall likewise be given attention in the validation.</w:t>
      </w:r>
    </w:p>
    <w:p w14:paraId="16D4513B" w14:textId="77777777" w:rsidR="00FC4B0E" w:rsidRPr="004C4F6D" w:rsidRDefault="00FC4B0E" w:rsidP="004C4F6D">
      <w:pPr>
        <w:pStyle w:val="ListParagraph"/>
        <w:numPr>
          <w:ilvl w:val="0"/>
          <w:numId w:val="15"/>
        </w:numPr>
        <w:spacing w:after="0" w:line="240" w:lineRule="auto"/>
        <w:ind w:left="2127" w:right="716" w:hanging="687"/>
        <w:jc w:val="both"/>
        <w:rPr>
          <w:rFonts w:ascii="Arial" w:eastAsia="Arial Narrow" w:hAnsi="Arial" w:cs="Arial"/>
          <w:i/>
          <w:iCs/>
        </w:rPr>
      </w:pPr>
      <w:r w:rsidRPr="004C4F6D">
        <w:rPr>
          <w:rFonts w:ascii="Arial" w:eastAsia="Arial Narrow" w:hAnsi="Arial" w:cs="Arial"/>
          <w:i/>
          <w:iCs/>
        </w:rPr>
        <w:t>UCPB accountable personnel shall be identified for any discrepancies noted during the inventory.</w:t>
      </w:r>
    </w:p>
    <w:p w14:paraId="6A3CF476" w14:textId="77777777" w:rsidR="00FC4B0E" w:rsidRPr="004C4F6D" w:rsidRDefault="00FC4B0E" w:rsidP="004C4F6D">
      <w:pPr>
        <w:pStyle w:val="ListParagraph"/>
        <w:numPr>
          <w:ilvl w:val="0"/>
          <w:numId w:val="15"/>
        </w:numPr>
        <w:tabs>
          <w:tab w:val="left" w:pos="7655"/>
        </w:tabs>
        <w:spacing w:after="0" w:line="240" w:lineRule="auto"/>
        <w:ind w:left="2127" w:right="716" w:hanging="687"/>
        <w:jc w:val="both"/>
        <w:rPr>
          <w:rFonts w:ascii="Arial" w:eastAsia="Arial Narrow" w:hAnsi="Arial" w:cs="Arial"/>
          <w:i/>
          <w:iCs/>
        </w:rPr>
      </w:pPr>
      <w:r w:rsidRPr="004C4F6D">
        <w:rPr>
          <w:rFonts w:ascii="Arial" w:eastAsia="Arial Narrow" w:hAnsi="Arial" w:cs="Arial"/>
          <w:b/>
          <w:i/>
          <w:iCs/>
        </w:rPr>
        <w:t>Any unaccounted items shall be resolved by the UCPB and adjusted in the GL before the merger, if warranted</w:t>
      </w:r>
      <w:r w:rsidRPr="004C4F6D">
        <w:rPr>
          <w:rFonts w:ascii="Arial" w:eastAsia="Arial Narrow" w:hAnsi="Arial" w:cs="Arial"/>
          <w:i/>
          <w:iCs/>
        </w:rPr>
        <w:t>.</w:t>
      </w:r>
    </w:p>
    <w:p w14:paraId="3F7B3D44" w14:textId="77777777" w:rsidR="00FC4B0E" w:rsidRPr="004C4F6D" w:rsidRDefault="00FC4B0E" w:rsidP="004C4F6D">
      <w:pPr>
        <w:pStyle w:val="ListParagraph"/>
        <w:spacing w:after="0" w:line="240" w:lineRule="auto"/>
        <w:rPr>
          <w:rFonts w:ascii="Arial" w:eastAsia="Arial Narrow" w:hAnsi="Arial" w:cs="Arial"/>
          <w:i/>
          <w:iCs/>
        </w:rPr>
      </w:pPr>
    </w:p>
    <w:p w14:paraId="75EA30D7" w14:textId="77777777" w:rsidR="00FC4B0E" w:rsidRPr="004C4F6D" w:rsidRDefault="00FC4B0E" w:rsidP="004C4F6D">
      <w:pPr>
        <w:pStyle w:val="ListParagraph"/>
        <w:numPr>
          <w:ilvl w:val="0"/>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t xml:space="preserve">SL discrepancies, lacking documents and records should be properly noted by LANDBANK and conformed to by UCPB. </w:t>
      </w:r>
      <w:r w:rsidRPr="004C4F6D">
        <w:rPr>
          <w:rFonts w:ascii="Arial" w:eastAsia="Arial Narrow" w:hAnsi="Arial" w:cs="Arial"/>
          <w:b/>
          <w:i/>
          <w:iCs/>
        </w:rPr>
        <w:t>Any discrepancy not noted during the turnover shall be the responsibility of the absorbing/accepting LANDBANK Unit/s.</w:t>
      </w:r>
    </w:p>
    <w:p w14:paraId="7C92BFF1" w14:textId="77777777" w:rsidR="00FC4B0E" w:rsidRPr="005E1567"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iCs/>
        </w:rPr>
      </w:pPr>
      <w:r w:rsidRPr="005E1567">
        <w:rPr>
          <w:rFonts w:ascii="Arial" w:eastAsia="Arial Narrow" w:hAnsi="Arial" w:cs="Arial"/>
          <w:iCs/>
        </w:rPr>
        <w:lastRenderedPageBreak/>
        <w:t>For guidance during the actual merger and migration, LBP EO 104 mandated, among others, that:</w:t>
      </w:r>
    </w:p>
    <w:p w14:paraId="24DA8E04" w14:textId="77777777" w:rsidR="00FC4B0E" w:rsidRPr="004C4F6D" w:rsidRDefault="00FC4B0E" w:rsidP="004C4F6D">
      <w:pPr>
        <w:pStyle w:val="ListParagraph"/>
        <w:autoSpaceDE w:val="0"/>
        <w:autoSpaceDN w:val="0"/>
        <w:adjustRightInd w:val="0"/>
        <w:spacing w:after="0" w:line="240" w:lineRule="auto"/>
        <w:ind w:left="1440"/>
        <w:jc w:val="both"/>
        <w:rPr>
          <w:rFonts w:ascii="Arial" w:hAnsi="Arial" w:cs="Arial"/>
          <w:i/>
          <w:iCs/>
        </w:rPr>
      </w:pPr>
    </w:p>
    <w:p w14:paraId="6F8706E4" w14:textId="77777777" w:rsidR="00FC4B0E" w:rsidRPr="004C4F6D" w:rsidRDefault="00FC4B0E" w:rsidP="004C4F6D">
      <w:pPr>
        <w:spacing w:after="0" w:line="240" w:lineRule="auto"/>
        <w:ind w:left="720" w:right="716"/>
        <w:jc w:val="both"/>
        <w:rPr>
          <w:rFonts w:ascii="Arial" w:eastAsia="Arial Narrow" w:hAnsi="Arial" w:cs="Arial"/>
          <w:i/>
          <w:iCs/>
        </w:rPr>
      </w:pPr>
      <w:r w:rsidRPr="004C4F6D">
        <w:rPr>
          <w:rFonts w:ascii="Arial" w:eastAsia="Arial Narrow" w:hAnsi="Arial" w:cs="Arial"/>
          <w:i/>
          <w:iCs/>
        </w:rPr>
        <w:t>Matching of the GL and SL balances shall be performed by the booking units to account for any discrepancies during the merger. GL and SL balances and discrepancies noted, if any, shall be endorsed to the concerned absorbing unit for validation, reconciliation and monitoring.</w:t>
      </w:r>
    </w:p>
    <w:p w14:paraId="2A20580F" w14:textId="77777777" w:rsidR="00FC4B0E" w:rsidRPr="004C4F6D" w:rsidRDefault="00FC4B0E" w:rsidP="004C4F6D">
      <w:pPr>
        <w:spacing w:after="0" w:line="240" w:lineRule="auto"/>
        <w:ind w:left="1300" w:right="800"/>
        <w:jc w:val="both"/>
        <w:rPr>
          <w:rFonts w:ascii="Arial" w:eastAsia="Arial Narrow" w:hAnsi="Arial" w:cs="Arial"/>
          <w:i/>
          <w:iCs/>
        </w:rPr>
      </w:pPr>
    </w:p>
    <w:p w14:paraId="35DEFB43" w14:textId="77777777" w:rsidR="00FC4B0E" w:rsidRPr="004C4F6D" w:rsidRDefault="00FC4B0E" w:rsidP="004C4F6D">
      <w:pPr>
        <w:spacing w:after="0" w:line="240" w:lineRule="auto"/>
        <w:ind w:left="720" w:right="716"/>
        <w:jc w:val="both"/>
        <w:rPr>
          <w:rFonts w:ascii="Arial" w:eastAsia="Arial Narrow" w:hAnsi="Arial" w:cs="Arial"/>
          <w:i/>
          <w:iCs/>
        </w:rPr>
      </w:pPr>
      <w:r w:rsidRPr="004C4F6D">
        <w:rPr>
          <w:rFonts w:ascii="Arial" w:eastAsia="Arial Narrow" w:hAnsi="Arial" w:cs="Arial"/>
          <w:i/>
          <w:iCs/>
        </w:rPr>
        <w:t>Balance Sheet accounts after the merger shall continue to be validated, reconciled and monitored regardless of systems used including the identification and resolution of discrepancies. GL adjustments shall be approved in accordance with CASA.</w:t>
      </w:r>
    </w:p>
    <w:p w14:paraId="4659FB94" w14:textId="77777777" w:rsidR="00FC4B0E" w:rsidRPr="004C4F6D" w:rsidRDefault="00FC4B0E" w:rsidP="004C4F6D">
      <w:pPr>
        <w:spacing w:after="0" w:line="240" w:lineRule="auto"/>
        <w:ind w:left="1300" w:right="800"/>
        <w:jc w:val="both"/>
        <w:rPr>
          <w:rFonts w:ascii="Arial" w:eastAsia="Arial Narrow" w:hAnsi="Arial" w:cs="Arial"/>
          <w:i/>
          <w:iCs/>
        </w:rPr>
      </w:pPr>
    </w:p>
    <w:p w14:paraId="05152620" w14:textId="77777777" w:rsidR="00FC4B0E" w:rsidRPr="005E1567"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iCs/>
        </w:rPr>
      </w:pPr>
      <w:r w:rsidRPr="005E1567">
        <w:rPr>
          <w:rFonts w:ascii="Arial" w:eastAsia="Arial Narrow" w:hAnsi="Arial" w:cs="Arial"/>
          <w:iCs/>
        </w:rPr>
        <w:t xml:space="preserve">Further, Items 2, 4, and 9 of Section C, General Guidelines of LBP EO No. 109 series of 2021, Guidelines on the Migration of the UCPB loan portfolio to Landbank- NDLS provide the following, among others: </w:t>
      </w:r>
    </w:p>
    <w:p w14:paraId="1764466F"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i/>
          <w:iCs/>
        </w:rPr>
      </w:pPr>
    </w:p>
    <w:p w14:paraId="7CEEDBA0" w14:textId="77777777" w:rsidR="00FC4B0E" w:rsidRPr="004C4F6D" w:rsidRDefault="00FC4B0E" w:rsidP="004C4F6D">
      <w:pPr>
        <w:spacing w:after="0" w:line="240" w:lineRule="auto"/>
        <w:ind w:left="720" w:right="716"/>
        <w:jc w:val="both"/>
        <w:rPr>
          <w:rFonts w:ascii="Arial" w:eastAsia="Arial Narrow" w:hAnsi="Arial" w:cs="Arial"/>
          <w:i/>
          <w:iCs/>
        </w:rPr>
      </w:pPr>
      <w:r w:rsidRPr="004C4F6D">
        <w:rPr>
          <w:rFonts w:ascii="Arial" w:eastAsia="Arial Narrow" w:hAnsi="Arial" w:cs="Arial"/>
          <w:i/>
          <w:iCs/>
        </w:rPr>
        <w:t>Lending Support Department (LSD) shall (a) determine the manpower requirement per Lending Unit (LU) based on the portfolio to be transferred from the UCPB and existing staffing parameters of the ADLS and (b) closely coordinate with the Personnel Administration Department (PAD) for the immediate hiring of required manpower resources. Deployment of seconded personnel to the UCPB shall likewise be determined and communicated with PAD.</w:t>
      </w:r>
    </w:p>
    <w:p w14:paraId="726C7804" w14:textId="77777777" w:rsidR="00FC4B0E" w:rsidRPr="004C4F6D" w:rsidRDefault="00FC4B0E" w:rsidP="004C4F6D">
      <w:pPr>
        <w:spacing w:after="0" w:line="240" w:lineRule="auto"/>
        <w:ind w:left="1300" w:right="860"/>
        <w:jc w:val="both"/>
        <w:rPr>
          <w:rFonts w:ascii="Arial" w:eastAsia="Arial Narrow" w:hAnsi="Arial" w:cs="Arial"/>
          <w:i/>
          <w:iCs/>
        </w:rPr>
      </w:pPr>
    </w:p>
    <w:p w14:paraId="46452B10" w14:textId="77777777" w:rsidR="00FC4B0E" w:rsidRPr="005E1567"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iCs/>
        </w:rPr>
      </w:pPr>
      <w:r w:rsidRPr="005E1567">
        <w:rPr>
          <w:rFonts w:ascii="Arial" w:eastAsia="Arial Narrow" w:hAnsi="Arial" w:cs="Arial"/>
          <w:iCs/>
        </w:rPr>
        <w:t>LBP EO 109 also emphasized conduct of inventory and complete turnover of documents, to wit:</w:t>
      </w:r>
    </w:p>
    <w:p w14:paraId="6691D728"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i/>
          <w:iCs/>
        </w:rPr>
      </w:pPr>
    </w:p>
    <w:p w14:paraId="03F80B47" w14:textId="77777777" w:rsidR="00FC4B0E" w:rsidRPr="004C4F6D" w:rsidRDefault="00FC4B0E" w:rsidP="004C4F6D">
      <w:pPr>
        <w:pStyle w:val="ListParagraph"/>
        <w:numPr>
          <w:ilvl w:val="1"/>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t>The following shall be requested from the UCPB to submit and execute prior to the merger:</w:t>
      </w:r>
    </w:p>
    <w:p w14:paraId="5DD54BED" w14:textId="77777777" w:rsidR="00FC4B0E" w:rsidRPr="004C4F6D" w:rsidRDefault="00FC4B0E" w:rsidP="004C4F6D">
      <w:pPr>
        <w:spacing w:after="0" w:line="240" w:lineRule="auto"/>
        <w:ind w:left="1760" w:right="900" w:hanging="280"/>
        <w:jc w:val="both"/>
        <w:rPr>
          <w:rFonts w:ascii="Arial" w:eastAsia="Arial Narrow" w:hAnsi="Arial" w:cs="Arial"/>
          <w:i/>
          <w:iCs/>
        </w:rPr>
      </w:pPr>
    </w:p>
    <w:p w14:paraId="5ACEB895" w14:textId="13D463FE" w:rsidR="00FC4B0E" w:rsidRPr="004C4F6D" w:rsidRDefault="00FC4B0E" w:rsidP="004C4F6D">
      <w:pPr>
        <w:spacing w:after="0" w:line="240" w:lineRule="auto"/>
        <w:ind w:left="1440" w:right="716"/>
        <w:jc w:val="both"/>
        <w:rPr>
          <w:rFonts w:ascii="Arial" w:eastAsia="Arial Narrow" w:hAnsi="Arial" w:cs="Arial"/>
          <w:i/>
          <w:iCs/>
        </w:rPr>
      </w:pPr>
      <w:r w:rsidRPr="004C4F6D">
        <w:rPr>
          <w:rFonts w:ascii="Arial" w:eastAsia="Arial Narrow" w:hAnsi="Arial" w:cs="Arial"/>
          <w:i/>
          <w:iCs/>
        </w:rPr>
        <w:t>1)</w:t>
      </w:r>
      <w:r w:rsidR="007A7629" w:rsidRPr="004C4F6D">
        <w:rPr>
          <w:rFonts w:ascii="Arial" w:eastAsia="Arial Narrow" w:hAnsi="Arial" w:cs="Arial"/>
          <w:i/>
          <w:iCs/>
        </w:rPr>
        <w:t xml:space="preserve"> </w:t>
      </w:r>
      <w:r w:rsidRPr="004C4F6D">
        <w:rPr>
          <w:rFonts w:ascii="Arial" w:eastAsia="Arial Narrow" w:hAnsi="Arial" w:cs="Arial"/>
          <w:i/>
          <w:iCs/>
        </w:rPr>
        <w:t xml:space="preserve"> Account Documentation Checklist for all accounts</w:t>
      </w:r>
    </w:p>
    <w:p w14:paraId="478C2523" w14:textId="560CB4D4" w:rsidR="00FC4B0E" w:rsidRPr="004C4F6D" w:rsidRDefault="00FC4B0E" w:rsidP="004C4F6D">
      <w:pPr>
        <w:spacing w:after="0" w:line="240" w:lineRule="auto"/>
        <w:ind w:left="1440" w:right="716"/>
        <w:jc w:val="both"/>
        <w:rPr>
          <w:rFonts w:ascii="Arial" w:eastAsia="Arial Narrow" w:hAnsi="Arial" w:cs="Arial"/>
          <w:i/>
          <w:iCs/>
        </w:rPr>
      </w:pPr>
      <w:r w:rsidRPr="004C4F6D">
        <w:rPr>
          <w:rFonts w:ascii="Arial" w:eastAsia="Arial Narrow" w:hAnsi="Arial" w:cs="Arial"/>
          <w:i/>
          <w:iCs/>
        </w:rPr>
        <w:t>2)</w:t>
      </w:r>
      <w:r w:rsidR="007A7629" w:rsidRPr="004C4F6D">
        <w:rPr>
          <w:rFonts w:ascii="Arial" w:eastAsia="Arial Narrow" w:hAnsi="Arial" w:cs="Arial"/>
          <w:i/>
          <w:iCs/>
        </w:rPr>
        <w:t xml:space="preserve"> </w:t>
      </w:r>
      <w:r w:rsidRPr="004C4F6D">
        <w:rPr>
          <w:rFonts w:ascii="Arial" w:eastAsia="Arial Narrow" w:hAnsi="Arial" w:cs="Arial"/>
          <w:i/>
          <w:iCs/>
        </w:rPr>
        <w:t xml:space="preserve"> Account/Executive Brief for corporate accounts</w:t>
      </w:r>
    </w:p>
    <w:p w14:paraId="667996F7" w14:textId="77777777" w:rsidR="00FC4B0E" w:rsidRPr="004C4F6D" w:rsidRDefault="00FC4B0E" w:rsidP="004C4F6D">
      <w:pPr>
        <w:spacing w:after="0" w:line="240" w:lineRule="auto"/>
        <w:ind w:left="1440" w:right="716"/>
        <w:jc w:val="both"/>
        <w:rPr>
          <w:rFonts w:ascii="Arial" w:eastAsia="Arial Narrow" w:hAnsi="Arial" w:cs="Arial"/>
          <w:i/>
          <w:iCs/>
        </w:rPr>
      </w:pPr>
      <w:r w:rsidRPr="004C4F6D">
        <w:rPr>
          <w:rFonts w:ascii="Arial" w:eastAsia="Arial Narrow" w:hAnsi="Arial" w:cs="Arial"/>
          <w:i/>
          <w:iCs/>
        </w:rPr>
        <w:t>3) Loan boxes for turnover based on the loan distribution list provided by LANDBANK, properly labelled and documented as prescribed by the MTF</w:t>
      </w:r>
    </w:p>
    <w:p w14:paraId="61A1671B" w14:textId="77777777" w:rsidR="00FC4B0E" w:rsidRPr="004C4F6D" w:rsidRDefault="00FC4B0E" w:rsidP="004C4F6D">
      <w:pPr>
        <w:spacing w:after="0" w:line="240" w:lineRule="auto"/>
        <w:ind w:right="716"/>
        <w:jc w:val="both"/>
        <w:rPr>
          <w:rFonts w:ascii="Arial" w:eastAsia="Arial Narrow" w:hAnsi="Arial" w:cs="Arial"/>
          <w:i/>
          <w:iCs/>
        </w:rPr>
      </w:pPr>
    </w:p>
    <w:p w14:paraId="07FD6DCC" w14:textId="421B4692" w:rsidR="00FC4B0E" w:rsidRPr="004C4F6D" w:rsidRDefault="00FC4B0E" w:rsidP="004C4F6D">
      <w:pPr>
        <w:pStyle w:val="ListParagraph"/>
        <w:numPr>
          <w:ilvl w:val="1"/>
          <w:numId w:val="14"/>
        </w:numPr>
        <w:spacing w:after="0" w:line="240" w:lineRule="auto"/>
        <w:ind w:left="1440" w:right="716" w:hanging="810"/>
        <w:jc w:val="both"/>
        <w:rPr>
          <w:rFonts w:ascii="Arial" w:eastAsia="Arial Narrow" w:hAnsi="Arial" w:cs="Arial"/>
          <w:i/>
          <w:iCs/>
        </w:rPr>
      </w:pPr>
      <w:r w:rsidRPr="004C4F6D">
        <w:rPr>
          <w:rFonts w:ascii="Arial" w:eastAsia="Arial Narrow" w:hAnsi="Arial" w:cs="Arial"/>
          <w:i/>
          <w:iCs/>
        </w:rPr>
        <w:t>Conduct of inventory of the following documents shall be performed by the MTF before the legal merger:</w:t>
      </w:r>
    </w:p>
    <w:p w14:paraId="2B6F359E" w14:textId="77777777" w:rsidR="00A114F1" w:rsidRPr="004C4F6D" w:rsidRDefault="00A114F1" w:rsidP="004C4F6D">
      <w:pPr>
        <w:pStyle w:val="ListParagraph"/>
        <w:spacing w:after="0" w:line="240" w:lineRule="auto"/>
        <w:ind w:left="1440" w:right="716"/>
        <w:jc w:val="both"/>
        <w:rPr>
          <w:rFonts w:ascii="Arial" w:eastAsia="Arial Narrow" w:hAnsi="Arial" w:cs="Arial"/>
          <w:i/>
          <w:iCs/>
        </w:rPr>
      </w:pPr>
    </w:p>
    <w:p w14:paraId="2069EFAC" w14:textId="54F748D9" w:rsidR="00FC4B0E" w:rsidRPr="004C4F6D" w:rsidRDefault="00FC4B0E" w:rsidP="004C4F6D">
      <w:pPr>
        <w:spacing w:after="0" w:line="240" w:lineRule="auto"/>
        <w:ind w:left="1440" w:right="716"/>
        <w:jc w:val="both"/>
        <w:rPr>
          <w:rFonts w:ascii="Arial" w:eastAsia="Arial Narrow" w:hAnsi="Arial" w:cs="Arial"/>
          <w:i/>
          <w:iCs/>
        </w:rPr>
      </w:pPr>
      <w:r w:rsidRPr="004C4F6D">
        <w:rPr>
          <w:rFonts w:ascii="Arial" w:eastAsia="Arial Narrow" w:hAnsi="Arial" w:cs="Arial"/>
          <w:i/>
          <w:iCs/>
        </w:rPr>
        <w:t xml:space="preserve">1) </w:t>
      </w:r>
      <w:r w:rsidR="007A7629" w:rsidRPr="004C4F6D">
        <w:rPr>
          <w:rFonts w:ascii="Arial" w:eastAsia="Arial Narrow" w:hAnsi="Arial" w:cs="Arial"/>
          <w:i/>
          <w:iCs/>
        </w:rPr>
        <w:t xml:space="preserve"> </w:t>
      </w:r>
      <w:r w:rsidRPr="004C4F6D">
        <w:rPr>
          <w:rFonts w:ascii="Arial" w:eastAsia="Arial Narrow" w:hAnsi="Arial" w:cs="Arial"/>
          <w:i/>
          <w:iCs/>
        </w:rPr>
        <w:t>UCPB credit, loan documents and collateral and security folders</w:t>
      </w:r>
    </w:p>
    <w:p w14:paraId="1B1C54AE" w14:textId="59384043" w:rsidR="00FC4B0E" w:rsidRPr="004C4F6D" w:rsidRDefault="00FC4B0E" w:rsidP="004C4F6D">
      <w:pPr>
        <w:spacing w:after="0" w:line="240" w:lineRule="auto"/>
        <w:ind w:left="1440" w:right="820" w:hanging="68"/>
        <w:jc w:val="both"/>
        <w:rPr>
          <w:rFonts w:ascii="Arial" w:eastAsia="Arial Narrow" w:hAnsi="Arial" w:cs="Arial"/>
          <w:i/>
          <w:iCs/>
        </w:rPr>
      </w:pPr>
      <w:r w:rsidRPr="004C4F6D">
        <w:rPr>
          <w:rFonts w:ascii="Arial" w:eastAsia="Arial Narrow" w:hAnsi="Arial" w:cs="Arial"/>
          <w:i/>
          <w:iCs/>
        </w:rPr>
        <w:tab/>
        <w:t xml:space="preserve">2) </w:t>
      </w:r>
      <w:r w:rsidR="007A7629" w:rsidRPr="004C4F6D">
        <w:rPr>
          <w:rFonts w:ascii="Arial" w:eastAsia="Arial Narrow" w:hAnsi="Arial" w:cs="Arial"/>
          <w:i/>
          <w:iCs/>
        </w:rPr>
        <w:t xml:space="preserve"> </w:t>
      </w:r>
      <w:r w:rsidRPr="004C4F6D">
        <w:rPr>
          <w:rFonts w:ascii="Arial" w:eastAsia="Arial Narrow" w:hAnsi="Arial" w:cs="Arial"/>
          <w:i/>
          <w:iCs/>
        </w:rPr>
        <w:t>Post Dated Checks (PDCs)</w:t>
      </w:r>
    </w:p>
    <w:p w14:paraId="28E95DB8" w14:textId="77777777" w:rsidR="00FC4B0E" w:rsidRPr="004C4F6D" w:rsidRDefault="00FC4B0E" w:rsidP="004C4F6D">
      <w:pPr>
        <w:spacing w:after="0" w:line="240" w:lineRule="auto"/>
        <w:ind w:left="2036" w:right="820" w:hanging="278"/>
        <w:jc w:val="both"/>
        <w:rPr>
          <w:rFonts w:ascii="Arial" w:eastAsia="Arial Narrow" w:hAnsi="Arial" w:cs="Arial"/>
          <w:i/>
          <w:iCs/>
        </w:rPr>
      </w:pPr>
    </w:p>
    <w:p w14:paraId="1BBD32C3" w14:textId="6A1175BC" w:rsidR="00FC4B0E" w:rsidRPr="004C4F6D" w:rsidRDefault="00FC4B0E" w:rsidP="004C4F6D">
      <w:pPr>
        <w:pStyle w:val="ListParagraph"/>
        <w:numPr>
          <w:ilvl w:val="1"/>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t>Upon turnover, the MTF shall ensure that the following documents are complete:</w:t>
      </w:r>
    </w:p>
    <w:p w14:paraId="3ADE9AB1" w14:textId="77777777" w:rsidR="00A114F1" w:rsidRPr="004C4F6D" w:rsidRDefault="00A114F1" w:rsidP="004C4F6D">
      <w:pPr>
        <w:pStyle w:val="ListParagraph"/>
        <w:spacing w:after="0" w:line="240" w:lineRule="auto"/>
        <w:ind w:left="1560" w:right="716"/>
        <w:jc w:val="both"/>
        <w:rPr>
          <w:rFonts w:ascii="Arial" w:eastAsia="Arial Narrow" w:hAnsi="Arial" w:cs="Arial"/>
          <w:i/>
          <w:iCs/>
        </w:rPr>
      </w:pPr>
    </w:p>
    <w:p w14:paraId="4451314A" w14:textId="77777777" w:rsidR="00FC4B0E" w:rsidRPr="004C4F6D" w:rsidRDefault="00FC4B0E" w:rsidP="004C4F6D">
      <w:pPr>
        <w:spacing w:after="0" w:line="240" w:lineRule="auto"/>
        <w:ind w:left="1800" w:right="820" w:hanging="360"/>
        <w:jc w:val="both"/>
        <w:rPr>
          <w:rFonts w:ascii="Arial" w:eastAsia="Arial Narrow" w:hAnsi="Arial" w:cs="Arial"/>
          <w:i/>
          <w:iCs/>
        </w:rPr>
      </w:pPr>
      <w:r w:rsidRPr="004C4F6D">
        <w:rPr>
          <w:rFonts w:ascii="Arial" w:eastAsia="Arial Narrow" w:hAnsi="Arial" w:cs="Arial"/>
          <w:i/>
          <w:iCs/>
        </w:rPr>
        <w:t>1)</w:t>
      </w:r>
      <w:r w:rsidRPr="004C4F6D">
        <w:rPr>
          <w:rFonts w:ascii="Arial" w:hAnsi="Arial" w:cs="Arial"/>
          <w:i/>
          <w:iCs/>
        </w:rPr>
        <w:t xml:space="preserve">  </w:t>
      </w:r>
      <w:r w:rsidRPr="004C4F6D">
        <w:rPr>
          <w:rFonts w:ascii="Arial" w:eastAsia="Arial Narrow" w:hAnsi="Arial" w:cs="Arial"/>
          <w:i/>
          <w:iCs/>
        </w:rPr>
        <w:t>Credit Folders – containing the following:</w:t>
      </w:r>
    </w:p>
    <w:p w14:paraId="79DCC489" w14:textId="2DB28699" w:rsidR="00FC4B0E" w:rsidRPr="004C4F6D" w:rsidRDefault="00FC4B0E" w:rsidP="004C4F6D">
      <w:pPr>
        <w:spacing w:after="0" w:line="240" w:lineRule="auto"/>
        <w:ind w:left="1800" w:right="822"/>
        <w:jc w:val="both"/>
        <w:rPr>
          <w:rFonts w:ascii="Arial" w:eastAsia="Arial Narrow" w:hAnsi="Arial" w:cs="Arial"/>
          <w:i/>
          <w:iCs/>
        </w:rPr>
      </w:pPr>
      <w:r w:rsidRPr="004C4F6D">
        <w:rPr>
          <w:rFonts w:ascii="Arial" w:eastAsia="Arial Narrow" w:hAnsi="Arial" w:cs="Arial"/>
          <w:i/>
          <w:iCs/>
        </w:rPr>
        <w:t>a)   Borrower Information</w:t>
      </w:r>
    </w:p>
    <w:p w14:paraId="02BE8F4F" w14:textId="6C7ADC07" w:rsidR="007A7629" w:rsidRPr="004C4F6D" w:rsidRDefault="00FC4B0E" w:rsidP="004C4F6D">
      <w:pPr>
        <w:spacing w:after="0" w:line="240" w:lineRule="auto"/>
        <w:ind w:left="1800" w:right="822"/>
        <w:jc w:val="both"/>
        <w:rPr>
          <w:rFonts w:ascii="Arial" w:eastAsia="Arial Narrow" w:hAnsi="Arial" w:cs="Arial"/>
          <w:i/>
          <w:iCs/>
        </w:rPr>
      </w:pPr>
      <w:r w:rsidRPr="004C4F6D">
        <w:rPr>
          <w:rFonts w:ascii="Arial" w:eastAsia="Arial Narrow" w:hAnsi="Arial" w:cs="Arial"/>
          <w:i/>
          <w:iCs/>
        </w:rPr>
        <w:t>b)   Credit Approval related documents</w:t>
      </w:r>
    </w:p>
    <w:p w14:paraId="5945BC40" w14:textId="77777777" w:rsidR="00FC4B0E" w:rsidRPr="004C4F6D" w:rsidRDefault="00FC4B0E" w:rsidP="004C4F6D">
      <w:pPr>
        <w:spacing w:after="0" w:line="240" w:lineRule="auto"/>
        <w:ind w:left="1800" w:right="822"/>
        <w:jc w:val="both"/>
        <w:rPr>
          <w:rFonts w:ascii="Arial" w:eastAsia="Arial Narrow" w:hAnsi="Arial" w:cs="Arial"/>
          <w:i/>
          <w:iCs/>
        </w:rPr>
      </w:pPr>
    </w:p>
    <w:p w14:paraId="1CD9797C" w14:textId="4057ECC2" w:rsidR="007A7629" w:rsidRPr="004C4F6D" w:rsidRDefault="007A7629" w:rsidP="004C4F6D">
      <w:pPr>
        <w:numPr>
          <w:ilvl w:val="0"/>
          <w:numId w:val="16"/>
        </w:numPr>
        <w:spacing w:after="0" w:line="240" w:lineRule="auto"/>
        <w:ind w:left="1800" w:right="716" w:hanging="360"/>
        <w:jc w:val="both"/>
        <w:rPr>
          <w:rFonts w:ascii="Arial" w:eastAsia="Arial Narrow" w:hAnsi="Arial" w:cs="Arial"/>
          <w:i/>
          <w:iCs/>
        </w:rPr>
      </w:pPr>
      <w:r w:rsidRPr="004C4F6D">
        <w:rPr>
          <w:rFonts w:ascii="Arial" w:eastAsia="Arial Narrow" w:hAnsi="Arial" w:cs="Arial"/>
          <w:i/>
          <w:iCs/>
        </w:rPr>
        <w:lastRenderedPageBreak/>
        <w:t xml:space="preserve"> </w:t>
      </w:r>
      <w:r w:rsidR="00FC4B0E" w:rsidRPr="004C4F6D">
        <w:rPr>
          <w:rFonts w:ascii="Arial" w:eastAsia="Arial Narrow" w:hAnsi="Arial" w:cs="Arial"/>
          <w:i/>
          <w:iCs/>
        </w:rPr>
        <w:t>Loan Document Folders – containing the required documents for the working file prepared and filed as prescribed by LANDBANK</w:t>
      </w:r>
    </w:p>
    <w:p w14:paraId="22F39A34" w14:textId="77777777" w:rsidR="00FC4B0E" w:rsidRPr="004C4F6D" w:rsidRDefault="00FC4B0E" w:rsidP="004C4F6D">
      <w:pPr>
        <w:spacing w:after="0" w:line="240" w:lineRule="auto"/>
        <w:ind w:left="1800" w:right="716"/>
        <w:jc w:val="both"/>
        <w:rPr>
          <w:rFonts w:ascii="Arial" w:eastAsia="Arial Narrow" w:hAnsi="Arial" w:cs="Arial"/>
          <w:i/>
          <w:iCs/>
        </w:rPr>
      </w:pPr>
    </w:p>
    <w:p w14:paraId="196DAAE2" w14:textId="08229DD4" w:rsidR="007A7629" w:rsidRPr="004C4F6D" w:rsidRDefault="00FC4B0E" w:rsidP="004C4F6D">
      <w:pPr>
        <w:spacing w:after="0" w:line="240" w:lineRule="auto"/>
        <w:ind w:left="1710" w:right="820" w:hanging="292"/>
        <w:jc w:val="both"/>
        <w:rPr>
          <w:rFonts w:ascii="Arial" w:eastAsia="Arial Narrow" w:hAnsi="Arial" w:cs="Arial"/>
          <w:i/>
          <w:iCs/>
        </w:rPr>
      </w:pPr>
      <w:r w:rsidRPr="004C4F6D">
        <w:rPr>
          <w:rFonts w:ascii="Arial" w:eastAsia="Arial Narrow" w:hAnsi="Arial" w:cs="Arial"/>
          <w:i/>
          <w:iCs/>
        </w:rPr>
        <w:t>3) Collateral/Security Folders - containing, among others, the following:</w:t>
      </w:r>
    </w:p>
    <w:p w14:paraId="30A604BD" w14:textId="77777777" w:rsidR="00FC4B0E" w:rsidRPr="004C4F6D" w:rsidRDefault="00FC4B0E" w:rsidP="004C4F6D">
      <w:pPr>
        <w:spacing w:after="0" w:line="240" w:lineRule="auto"/>
        <w:ind w:left="1710" w:right="820" w:hanging="292"/>
        <w:jc w:val="both"/>
        <w:rPr>
          <w:rFonts w:ascii="Arial" w:eastAsia="Arial Narrow" w:hAnsi="Arial" w:cs="Arial"/>
          <w:i/>
          <w:iCs/>
        </w:rPr>
      </w:pPr>
    </w:p>
    <w:p w14:paraId="6C108F90" w14:textId="77777777" w:rsidR="00FC4B0E" w:rsidRPr="004C4F6D" w:rsidRDefault="00FC4B0E" w:rsidP="004C4F6D">
      <w:pPr>
        <w:spacing w:after="0" w:line="240" w:lineRule="auto"/>
        <w:ind w:left="2127" w:right="716" w:hanging="357"/>
        <w:jc w:val="both"/>
        <w:rPr>
          <w:rFonts w:ascii="Arial" w:eastAsia="Arial Narrow" w:hAnsi="Arial" w:cs="Arial"/>
          <w:i/>
          <w:iCs/>
        </w:rPr>
      </w:pPr>
      <w:r w:rsidRPr="004C4F6D">
        <w:rPr>
          <w:rFonts w:ascii="Arial" w:eastAsia="Arial Narrow" w:hAnsi="Arial" w:cs="Arial"/>
          <w:i/>
          <w:iCs/>
        </w:rPr>
        <w:t>a)  Collateral Documents – Transfer Certificate of Title (TCT), Condominium Certificate of Title (CTC), Motor Vehicle Official Receipt and/or Certificate of Registration (MV OR/CR), etc.</w:t>
      </w:r>
    </w:p>
    <w:p w14:paraId="52607D66" w14:textId="77777777" w:rsidR="00FC4B0E" w:rsidRPr="004C4F6D" w:rsidRDefault="00FC4B0E" w:rsidP="004C4F6D">
      <w:pPr>
        <w:spacing w:after="0" w:line="240" w:lineRule="auto"/>
        <w:ind w:left="2127" w:right="820" w:hanging="360"/>
        <w:jc w:val="both"/>
        <w:rPr>
          <w:rFonts w:ascii="Arial" w:eastAsia="Arial Narrow" w:hAnsi="Arial" w:cs="Arial"/>
          <w:i/>
          <w:iCs/>
        </w:rPr>
      </w:pPr>
      <w:r w:rsidRPr="004C4F6D">
        <w:rPr>
          <w:rFonts w:ascii="Arial" w:eastAsia="Arial Narrow" w:hAnsi="Arial" w:cs="Arial"/>
          <w:i/>
          <w:iCs/>
        </w:rPr>
        <w:t>b)</w:t>
      </w:r>
      <w:r w:rsidRPr="004C4F6D">
        <w:rPr>
          <w:rFonts w:ascii="Arial" w:hAnsi="Arial" w:cs="Arial"/>
          <w:i/>
          <w:iCs/>
        </w:rPr>
        <w:t xml:space="preserve">  </w:t>
      </w:r>
      <w:r w:rsidRPr="004C4F6D">
        <w:rPr>
          <w:rFonts w:ascii="Arial" w:eastAsia="Arial Narrow" w:hAnsi="Arial" w:cs="Arial"/>
          <w:i/>
          <w:iCs/>
        </w:rPr>
        <w:t>Promissory Notes (PNs) and Disclosure statements</w:t>
      </w:r>
    </w:p>
    <w:p w14:paraId="5AB79615" w14:textId="77777777" w:rsidR="00FC4B0E" w:rsidRPr="004C4F6D" w:rsidRDefault="00FC4B0E" w:rsidP="004C4F6D">
      <w:pPr>
        <w:spacing w:after="0" w:line="240" w:lineRule="auto"/>
        <w:ind w:left="2127" w:right="716" w:hanging="360"/>
        <w:jc w:val="both"/>
        <w:rPr>
          <w:rFonts w:ascii="Arial" w:eastAsia="Arial Narrow" w:hAnsi="Arial" w:cs="Arial"/>
          <w:i/>
          <w:iCs/>
        </w:rPr>
      </w:pPr>
      <w:r w:rsidRPr="004C4F6D">
        <w:rPr>
          <w:rFonts w:ascii="Arial" w:eastAsia="Arial Narrow" w:hAnsi="Arial" w:cs="Arial"/>
          <w:i/>
          <w:iCs/>
        </w:rPr>
        <w:t>c)</w:t>
      </w:r>
      <w:r w:rsidRPr="004C4F6D">
        <w:rPr>
          <w:rFonts w:ascii="Arial" w:hAnsi="Arial" w:cs="Arial"/>
          <w:i/>
          <w:iCs/>
        </w:rPr>
        <w:t xml:space="preserve"> </w:t>
      </w:r>
      <w:r w:rsidRPr="004C4F6D">
        <w:rPr>
          <w:rFonts w:ascii="Arial" w:eastAsia="Arial Narrow" w:hAnsi="Arial" w:cs="Arial"/>
          <w:i/>
          <w:iCs/>
        </w:rPr>
        <w:t>Collateral - related documents, e.g., Real Estate Mortgage, Chattel Mortgage, Deed of Assignment, etc.</w:t>
      </w:r>
    </w:p>
    <w:p w14:paraId="50059046" w14:textId="77777777" w:rsidR="00FC4B0E" w:rsidRPr="004C4F6D" w:rsidRDefault="00FC4B0E" w:rsidP="004C4F6D">
      <w:pPr>
        <w:spacing w:after="0" w:line="240" w:lineRule="auto"/>
        <w:ind w:left="2127" w:right="716" w:hanging="360"/>
        <w:jc w:val="both"/>
        <w:rPr>
          <w:rFonts w:ascii="Arial" w:eastAsia="Arial Narrow" w:hAnsi="Arial" w:cs="Arial"/>
          <w:i/>
          <w:iCs/>
        </w:rPr>
      </w:pPr>
      <w:r w:rsidRPr="004C4F6D">
        <w:rPr>
          <w:rFonts w:ascii="Arial" w:eastAsia="Arial Narrow" w:hAnsi="Arial" w:cs="Arial"/>
          <w:i/>
          <w:iCs/>
        </w:rPr>
        <w:t>d) List of Post-Dated Checks (PDCs) surrendered to Loan Operations Management Department (LOMD) for loan payments</w:t>
      </w:r>
    </w:p>
    <w:p w14:paraId="007CB5CF" w14:textId="77777777" w:rsidR="00FC4B0E" w:rsidRPr="004C4F6D" w:rsidRDefault="00FC4B0E" w:rsidP="004C4F6D">
      <w:pPr>
        <w:spacing w:after="0" w:line="240" w:lineRule="auto"/>
        <w:ind w:left="2760" w:right="820" w:hanging="360"/>
        <w:jc w:val="both"/>
        <w:rPr>
          <w:rFonts w:ascii="Arial" w:eastAsia="Arial Narrow" w:hAnsi="Arial" w:cs="Arial"/>
          <w:i/>
          <w:iCs/>
        </w:rPr>
      </w:pPr>
    </w:p>
    <w:p w14:paraId="4B577AA6" w14:textId="77777777" w:rsidR="00FC4B0E" w:rsidRPr="004C4F6D" w:rsidRDefault="00FC4B0E" w:rsidP="004C4F6D">
      <w:pPr>
        <w:pStyle w:val="ListParagraph"/>
        <w:numPr>
          <w:ilvl w:val="1"/>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t>The transfer/turnover shall be conformed to by both UCPB and LANDBANK parties.</w:t>
      </w:r>
    </w:p>
    <w:p w14:paraId="760911D6" w14:textId="77777777" w:rsidR="00FC4B0E" w:rsidRPr="004C4F6D" w:rsidRDefault="00FC4B0E" w:rsidP="004C4F6D">
      <w:pPr>
        <w:spacing w:after="0" w:line="240" w:lineRule="auto"/>
        <w:ind w:left="1760" w:right="820" w:hanging="280"/>
        <w:jc w:val="both"/>
        <w:rPr>
          <w:rFonts w:ascii="Arial" w:eastAsia="Arial Narrow" w:hAnsi="Arial" w:cs="Arial"/>
          <w:i/>
          <w:iCs/>
        </w:rPr>
      </w:pPr>
    </w:p>
    <w:p w14:paraId="54FE3ABF" w14:textId="77777777" w:rsidR="00FC4B0E" w:rsidRPr="004C4F6D" w:rsidRDefault="00FC4B0E" w:rsidP="004C4F6D">
      <w:pPr>
        <w:pStyle w:val="ListParagraph"/>
        <w:numPr>
          <w:ilvl w:val="1"/>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t>All discrepancies/ lacking documents should be properly noted by LANDBANK and conformed to by UCPB.</w:t>
      </w:r>
    </w:p>
    <w:p w14:paraId="3820A2E7" w14:textId="77777777" w:rsidR="00FC4B0E" w:rsidRPr="004C4F6D" w:rsidRDefault="00FC4B0E" w:rsidP="004C4F6D">
      <w:pPr>
        <w:spacing w:after="0" w:line="240" w:lineRule="auto"/>
        <w:ind w:leftChars="699" w:left="1758" w:right="820" w:hangingChars="100" w:hanging="220"/>
        <w:jc w:val="both"/>
        <w:rPr>
          <w:rFonts w:ascii="Arial" w:eastAsia="Arial Narrow" w:hAnsi="Arial" w:cs="Arial"/>
          <w:i/>
          <w:iCs/>
        </w:rPr>
      </w:pPr>
    </w:p>
    <w:p w14:paraId="571658E0" w14:textId="77777777" w:rsidR="00FC4B0E" w:rsidRPr="004C4F6D" w:rsidRDefault="00FC4B0E" w:rsidP="004C4F6D">
      <w:pPr>
        <w:pStyle w:val="ListParagraph"/>
        <w:numPr>
          <w:ilvl w:val="1"/>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t>Turned over documents/loan boxes (sealed as prescribed) shall either be physically transferred to the LANDBANK office/s as determined by the ADLS Units or retained at the UCPB offices (e.g., Vehicle, Real Estate and Personal Loan documents). Should the documents be retained at the UCPB office, ADLS shall deploy a LANDBANK personnel to monitor the incoming/outgoing of loan folders while the security folders and collaterals shall be turned over to LOMD for custody/safekeeping.</w:t>
      </w:r>
    </w:p>
    <w:p w14:paraId="0F5C64DE" w14:textId="77777777" w:rsidR="00FC4B0E" w:rsidRPr="004C4F6D" w:rsidRDefault="00FC4B0E" w:rsidP="004C4F6D">
      <w:pPr>
        <w:spacing w:after="0" w:line="240" w:lineRule="auto"/>
        <w:ind w:leftChars="699" w:left="1758" w:right="820" w:hangingChars="100" w:hanging="220"/>
        <w:jc w:val="both"/>
        <w:rPr>
          <w:rFonts w:ascii="Arial" w:eastAsia="Arial Narrow" w:hAnsi="Arial" w:cs="Arial"/>
          <w:i/>
          <w:iCs/>
        </w:rPr>
      </w:pPr>
    </w:p>
    <w:p w14:paraId="669643CE" w14:textId="571D1EF1" w:rsidR="00FC4B0E" w:rsidRPr="004C4F6D" w:rsidRDefault="00FC4B0E" w:rsidP="004C4F6D">
      <w:pPr>
        <w:spacing w:after="0" w:line="240" w:lineRule="auto"/>
        <w:ind w:left="1418" w:right="716" w:hanging="698"/>
        <w:jc w:val="both"/>
        <w:rPr>
          <w:rFonts w:ascii="Arial" w:eastAsia="Arial Narrow" w:hAnsi="Arial" w:cs="Arial"/>
          <w:i/>
          <w:iCs/>
        </w:rPr>
      </w:pPr>
      <w:r w:rsidRPr="004C4F6D">
        <w:rPr>
          <w:rFonts w:ascii="Arial" w:eastAsia="Arial Narrow" w:hAnsi="Arial" w:cs="Arial"/>
          <w:i/>
          <w:iCs/>
        </w:rPr>
        <w:t xml:space="preserve">g. </w:t>
      </w:r>
      <w:r w:rsidR="002B65D7" w:rsidRPr="004C4F6D">
        <w:rPr>
          <w:rFonts w:ascii="Arial" w:eastAsia="Arial Narrow" w:hAnsi="Arial" w:cs="Arial"/>
          <w:i/>
          <w:iCs/>
        </w:rPr>
        <w:tab/>
      </w:r>
      <w:r w:rsidRPr="004C4F6D">
        <w:rPr>
          <w:rFonts w:ascii="Arial" w:eastAsia="Arial Narrow" w:hAnsi="Arial" w:cs="Arial"/>
          <w:i/>
          <w:iCs/>
        </w:rPr>
        <w:t>Upon receipt by the MTF of loan documents from UCPB, same shall be distributed as follows:</w:t>
      </w:r>
    </w:p>
    <w:p w14:paraId="2DB427A7" w14:textId="77777777" w:rsidR="00FC4B0E" w:rsidRPr="004C4F6D" w:rsidRDefault="00FC4B0E" w:rsidP="004C4F6D">
      <w:pPr>
        <w:spacing w:after="0" w:line="240" w:lineRule="auto"/>
        <w:ind w:left="1418" w:right="820" w:hanging="280"/>
        <w:jc w:val="both"/>
        <w:rPr>
          <w:rFonts w:ascii="Arial" w:eastAsia="Arial Narrow" w:hAnsi="Arial" w:cs="Arial"/>
          <w:i/>
          <w:iCs/>
        </w:rPr>
      </w:pPr>
    </w:p>
    <w:p w14:paraId="73620822" w14:textId="77777777" w:rsidR="00FC4B0E" w:rsidRPr="004C4F6D" w:rsidRDefault="00FC4B0E" w:rsidP="004C4F6D">
      <w:pPr>
        <w:spacing w:after="0" w:line="240" w:lineRule="auto"/>
        <w:ind w:left="1843" w:right="716" w:hanging="403"/>
        <w:jc w:val="both"/>
        <w:rPr>
          <w:rFonts w:ascii="Arial" w:eastAsia="Arial Narrow" w:hAnsi="Arial" w:cs="Arial"/>
          <w:i/>
          <w:iCs/>
        </w:rPr>
      </w:pPr>
      <w:r w:rsidRPr="004C4F6D">
        <w:rPr>
          <w:rFonts w:ascii="Arial" w:eastAsia="Arial Narrow" w:hAnsi="Arial" w:cs="Arial"/>
          <w:i/>
          <w:iCs/>
        </w:rPr>
        <w:t>1)</w:t>
      </w:r>
      <w:r w:rsidRPr="004C4F6D">
        <w:rPr>
          <w:rFonts w:ascii="Arial" w:hAnsi="Arial" w:cs="Arial"/>
          <w:i/>
          <w:iCs/>
        </w:rPr>
        <w:t xml:space="preserve">  </w:t>
      </w:r>
      <w:r w:rsidRPr="004C4F6D">
        <w:rPr>
          <w:rFonts w:ascii="Arial" w:eastAsia="Arial Narrow" w:hAnsi="Arial" w:cs="Arial"/>
          <w:i/>
          <w:iCs/>
        </w:rPr>
        <w:t>If the receiving LU/Lending Center (LC) is also part of the MTF that conducted the inventory and turnover from UCPB, loan documents of a particular account shall be directly turned over by the MTF (LU/LC Head) to the handling team</w:t>
      </w:r>
    </w:p>
    <w:p w14:paraId="12DEF1B9" w14:textId="77777777" w:rsidR="00FC4B0E" w:rsidRPr="004C4F6D" w:rsidRDefault="00FC4B0E" w:rsidP="004C4F6D">
      <w:pPr>
        <w:spacing w:after="0" w:line="240" w:lineRule="auto"/>
        <w:ind w:left="2480" w:right="820" w:hanging="360"/>
        <w:jc w:val="both"/>
        <w:rPr>
          <w:rFonts w:ascii="Arial" w:eastAsia="Arial Narrow" w:hAnsi="Arial" w:cs="Arial"/>
          <w:i/>
          <w:iCs/>
        </w:rPr>
      </w:pPr>
    </w:p>
    <w:p w14:paraId="0DEBF2F1" w14:textId="77777777" w:rsidR="00FC4B0E" w:rsidRPr="004C4F6D" w:rsidRDefault="00FC4B0E" w:rsidP="004C4F6D">
      <w:pPr>
        <w:spacing w:after="0" w:line="240" w:lineRule="auto"/>
        <w:ind w:left="1843" w:right="716" w:hanging="360"/>
        <w:jc w:val="both"/>
        <w:rPr>
          <w:rFonts w:ascii="Arial" w:eastAsia="Arial Narrow" w:hAnsi="Arial" w:cs="Arial"/>
          <w:i/>
          <w:iCs/>
        </w:rPr>
      </w:pPr>
      <w:r w:rsidRPr="004C4F6D">
        <w:rPr>
          <w:rFonts w:ascii="Arial" w:eastAsia="Arial Narrow" w:hAnsi="Arial" w:cs="Arial"/>
          <w:i/>
          <w:iCs/>
        </w:rPr>
        <w:t>2)</w:t>
      </w:r>
      <w:r w:rsidRPr="004C4F6D">
        <w:rPr>
          <w:rFonts w:ascii="Arial" w:hAnsi="Arial" w:cs="Arial"/>
          <w:i/>
          <w:iCs/>
        </w:rPr>
        <w:t xml:space="preserve"> </w:t>
      </w:r>
      <w:r w:rsidRPr="004C4F6D">
        <w:rPr>
          <w:rFonts w:ascii="Arial" w:eastAsia="Arial Narrow" w:hAnsi="Arial" w:cs="Arial"/>
          <w:i/>
          <w:iCs/>
        </w:rPr>
        <w:t>If the receiving LU/LC is not part of the MTF, the receiving LU/LC Head and MTF shall mutually agree on the mode of physical transfer/turnover whether for pick up at receiving LU/LC's office or for delivery to the office at the final receiving LU/LC</w:t>
      </w:r>
    </w:p>
    <w:p w14:paraId="2FD3CBE3" w14:textId="77777777" w:rsidR="00FC4B0E" w:rsidRPr="004C4F6D" w:rsidRDefault="00FC4B0E" w:rsidP="004C4F6D">
      <w:pPr>
        <w:pStyle w:val="ListParagraph"/>
        <w:autoSpaceDE w:val="0"/>
        <w:autoSpaceDN w:val="0"/>
        <w:adjustRightInd w:val="0"/>
        <w:spacing w:after="0" w:line="240" w:lineRule="auto"/>
        <w:ind w:left="0"/>
        <w:jc w:val="both"/>
        <w:rPr>
          <w:rFonts w:ascii="Arial" w:eastAsia="Arial Narrow" w:hAnsi="Arial" w:cs="Arial"/>
          <w:i/>
          <w:iCs/>
        </w:rPr>
      </w:pPr>
    </w:p>
    <w:p w14:paraId="6B41901D" w14:textId="330D8F34" w:rsidR="00FC4B0E" w:rsidRPr="0072721C"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iCs/>
        </w:rPr>
      </w:pPr>
      <w:r w:rsidRPr="0072721C">
        <w:rPr>
          <w:rFonts w:ascii="Arial" w:eastAsia="Arial Narrow" w:hAnsi="Arial" w:cs="Arial"/>
          <w:iCs/>
        </w:rPr>
        <w:t xml:space="preserve">On </w:t>
      </w:r>
      <w:r w:rsidR="00236F19" w:rsidRPr="0072721C">
        <w:rPr>
          <w:rFonts w:ascii="Arial" w:eastAsia="Arial Narrow" w:hAnsi="Arial" w:cs="Arial"/>
          <w:iCs/>
        </w:rPr>
        <w:t>b</w:t>
      </w:r>
      <w:r w:rsidRPr="0072721C">
        <w:rPr>
          <w:rFonts w:ascii="Arial" w:eastAsia="Arial Narrow" w:hAnsi="Arial" w:cs="Arial"/>
          <w:iCs/>
        </w:rPr>
        <w:t>ooking of transferred loan accounts, LBP EO 109 stated:</w:t>
      </w:r>
    </w:p>
    <w:p w14:paraId="4D42A1C5"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i/>
          <w:iCs/>
        </w:rPr>
      </w:pPr>
      <w:r w:rsidRPr="004C4F6D">
        <w:rPr>
          <w:rFonts w:ascii="Arial" w:hAnsi="Arial" w:cs="Arial"/>
          <w:i/>
          <w:iCs/>
        </w:rPr>
        <w:t xml:space="preserve"> </w:t>
      </w:r>
    </w:p>
    <w:p w14:paraId="1044D85D" w14:textId="77777777" w:rsidR="00FC4B0E" w:rsidRPr="004C4F6D" w:rsidRDefault="00FC4B0E" w:rsidP="004C4F6D">
      <w:pPr>
        <w:pStyle w:val="ListParagraph"/>
        <w:numPr>
          <w:ilvl w:val="4"/>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t>LSD shall provide LOMD and ITD (for trade transactions) with a copy of the duly received transmittal documents/list from UCPB as reference in the booking of transaction.</w:t>
      </w:r>
    </w:p>
    <w:p w14:paraId="3C2D1A70" w14:textId="77777777" w:rsidR="00FC4B0E" w:rsidRPr="004C4F6D" w:rsidRDefault="00FC4B0E" w:rsidP="004C4F6D">
      <w:pPr>
        <w:spacing w:after="0" w:line="240" w:lineRule="auto"/>
        <w:ind w:left="2440" w:right="900" w:hanging="400"/>
        <w:jc w:val="both"/>
        <w:rPr>
          <w:rFonts w:ascii="Arial" w:eastAsia="Arial Narrow" w:hAnsi="Arial" w:cs="Arial"/>
          <w:i/>
          <w:iCs/>
        </w:rPr>
      </w:pPr>
    </w:p>
    <w:p w14:paraId="295C0C70" w14:textId="3919BB6C" w:rsidR="00FC4B0E" w:rsidRPr="004C4F6D" w:rsidRDefault="00FC4B0E" w:rsidP="004C4F6D">
      <w:pPr>
        <w:pStyle w:val="ListParagraph"/>
        <w:numPr>
          <w:ilvl w:val="4"/>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lastRenderedPageBreak/>
        <w:t>Prior to booking, the balances per UCPB summary shall be validated/ tallied against the balances per:</w:t>
      </w:r>
    </w:p>
    <w:p w14:paraId="2B37F275" w14:textId="77777777" w:rsidR="00163794" w:rsidRPr="004C4F6D" w:rsidRDefault="00163794" w:rsidP="004C4F6D">
      <w:pPr>
        <w:spacing w:after="0" w:line="240" w:lineRule="auto"/>
        <w:ind w:right="716"/>
        <w:jc w:val="both"/>
        <w:rPr>
          <w:rFonts w:ascii="Arial" w:eastAsia="Arial Narrow" w:hAnsi="Arial" w:cs="Arial"/>
          <w:i/>
          <w:iCs/>
        </w:rPr>
      </w:pPr>
    </w:p>
    <w:p w14:paraId="4B55DEAE" w14:textId="77777777" w:rsidR="00FC4B0E" w:rsidRPr="004C4F6D" w:rsidRDefault="00FC4B0E" w:rsidP="004C4F6D">
      <w:pPr>
        <w:spacing w:after="0" w:line="240" w:lineRule="auto"/>
        <w:ind w:left="1890" w:right="902" w:hanging="450"/>
        <w:jc w:val="both"/>
        <w:rPr>
          <w:rFonts w:ascii="Arial" w:eastAsia="Arial Narrow" w:hAnsi="Arial" w:cs="Arial"/>
          <w:i/>
          <w:iCs/>
        </w:rPr>
      </w:pPr>
      <w:r w:rsidRPr="004C4F6D">
        <w:rPr>
          <w:rFonts w:ascii="Arial" w:eastAsia="Arial Narrow" w:hAnsi="Arial" w:cs="Arial"/>
          <w:i/>
          <w:iCs/>
        </w:rPr>
        <w:t>1)    Subsidiary and General ledgers of UCPB</w:t>
      </w:r>
    </w:p>
    <w:p w14:paraId="384CA9AE" w14:textId="4B60F0CB" w:rsidR="00FC4B0E" w:rsidRPr="004C4F6D" w:rsidRDefault="00FC4B0E" w:rsidP="004C4F6D">
      <w:pPr>
        <w:spacing w:after="0" w:line="240" w:lineRule="auto"/>
        <w:ind w:left="1800" w:right="716" w:hanging="360"/>
        <w:jc w:val="both"/>
        <w:rPr>
          <w:rFonts w:ascii="Arial" w:eastAsia="Arial Narrow" w:hAnsi="Arial" w:cs="Arial"/>
          <w:i/>
          <w:iCs/>
        </w:rPr>
      </w:pPr>
      <w:r w:rsidRPr="004C4F6D">
        <w:rPr>
          <w:rFonts w:ascii="Arial" w:eastAsia="Arial Narrow" w:hAnsi="Arial" w:cs="Arial"/>
          <w:i/>
          <w:iCs/>
        </w:rPr>
        <w:t>2) Discrepancies on booked balances shall be noted by LANDBANK and conformed to by UCPB.</w:t>
      </w:r>
    </w:p>
    <w:p w14:paraId="70164456" w14:textId="77777777" w:rsidR="00FC4B0E" w:rsidRPr="004C4F6D" w:rsidRDefault="00FC4B0E" w:rsidP="004C4F6D">
      <w:pPr>
        <w:spacing w:after="0" w:line="240" w:lineRule="auto"/>
        <w:ind w:left="2880" w:right="902" w:hanging="508"/>
        <w:jc w:val="both"/>
        <w:rPr>
          <w:rFonts w:ascii="Arial" w:eastAsia="Arial Narrow" w:hAnsi="Arial" w:cs="Arial"/>
          <w:i/>
          <w:iCs/>
        </w:rPr>
      </w:pPr>
    </w:p>
    <w:p w14:paraId="21488610" w14:textId="77777777" w:rsidR="00FC4B0E" w:rsidRPr="004C4F6D" w:rsidRDefault="00FC4B0E" w:rsidP="004C4F6D">
      <w:pPr>
        <w:pStyle w:val="ListParagraph"/>
        <w:numPr>
          <w:ilvl w:val="4"/>
          <w:numId w:val="14"/>
        </w:numPr>
        <w:spacing w:after="0" w:line="240" w:lineRule="auto"/>
        <w:ind w:left="1440" w:right="716" w:hanging="720"/>
        <w:jc w:val="both"/>
        <w:rPr>
          <w:rFonts w:ascii="Arial" w:eastAsia="Arial Narrow" w:hAnsi="Arial" w:cs="Arial"/>
          <w:i/>
          <w:iCs/>
        </w:rPr>
      </w:pPr>
      <w:r w:rsidRPr="004C4F6D">
        <w:rPr>
          <w:rFonts w:ascii="Arial" w:eastAsia="Arial Narrow" w:hAnsi="Arial" w:cs="Arial"/>
          <w:i/>
          <w:iCs/>
        </w:rPr>
        <w:t>Upon transfer, any discrepancies noted during the validation shall be reconciled, in coordination with the booking units and reported to the concerned Group Head and Operations Sector Head on a weekly basis until resolution. Adjustments, if any, shall be made accordingly subject to approval per CASA.</w:t>
      </w:r>
    </w:p>
    <w:p w14:paraId="764BE029" w14:textId="77777777" w:rsidR="00FC4B0E" w:rsidRPr="004C4F6D" w:rsidRDefault="00FC4B0E" w:rsidP="004C4F6D">
      <w:pPr>
        <w:spacing w:after="0" w:line="240" w:lineRule="auto"/>
        <w:ind w:left="2460" w:right="900" w:hanging="420"/>
        <w:jc w:val="both"/>
        <w:rPr>
          <w:rFonts w:ascii="Arial" w:eastAsia="Arial Narrow" w:hAnsi="Arial" w:cs="Arial"/>
          <w:color w:val="0E101A"/>
        </w:rPr>
      </w:pPr>
    </w:p>
    <w:p w14:paraId="57E3889E" w14:textId="38D39F97"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iCs/>
        </w:rPr>
      </w:pPr>
      <w:r w:rsidRPr="004C4F6D">
        <w:rPr>
          <w:rFonts w:ascii="Arial" w:eastAsia="Arial Narrow" w:hAnsi="Arial"/>
          <w:iCs/>
          <w:color w:val="0E101A"/>
        </w:rPr>
        <w:t>For its accounting on the acquisition of the UCPB as a subsidiary, the Bank considered PFRS 3 – Business combinations and disclosed in its CY 2021 FS, in Note 2.3, Basis of Consolidation, that the Parent classify/designate the identifiable assets acquired and liabilities assumed as necessary on the basis of the contractual terms, economic conditions, its operating or accounting policies and other pertinent conditions as they exist at the acquisition date.  It was further disclosed that the Parent measures the identifiable assets acquired and liabilities assume</w:t>
      </w:r>
      <w:r w:rsidR="00671F2D">
        <w:rPr>
          <w:rFonts w:ascii="Arial" w:eastAsia="Arial Narrow" w:hAnsi="Arial"/>
          <w:iCs/>
          <w:color w:val="0E101A"/>
        </w:rPr>
        <w:t>d at provisional amounts. X x x</w:t>
      </w:r>
      <w:r w:rsidRPr="004C4F6D">
        <w:rPr>
          <w:rFonts w:ascii="Arial" w:eastAsia="Arial Narrow" w:hAnsi="Arial"/>
          <w:iCs/>
          <w:color w:val="0E101A"/>
        </w:rPr>
        <w:t xml:space="preserve"> After the acquisition date, the Parent shall reflect adjustments to the provisional amount should there be new information obtained about facts and circumstances that existed as of the acquisition date, if known, would have affected the measurement of the amounts recognized as of that date.  The Parent is still in the process of determining the fair values of UCPB’s net identifiable assets and liabilities and the total/acquisition/transaction related costs as of the acquisition date.</w:t>
      </w:r>
    </w:p>
    <w:p w14:paraId="6B80D1C0" w14:textId="77777777" w:rsidR="00FC4B0E" w:rsidRPr="004C4F6D" w:rsidRDefault="00FC4B0E" w:rsidP="004C4F6D">
      <w:pPr>
        <w:spacing w:after="0" w:line="240" w:lineRule="auto"/>
        <w:ind w:right="900"/>
        <w:jc w:val="both"/>
        <w:rPr>
          <w:rFonts w:ascii="Arial" w:eastAsia="Arial Narrow" w:hAnsi="Arial" w:cs="Arial"/>
          <w:color w:val="0E101A"/>
        </w:rPr>
      </w:pPr>
    </w:p>
    <w:p w14:paraId="47FB9EF2" w14:textId="76B118BA" w:rsidR="00FC4B0E" w:rsidRPr="004C4F6D" w:rsidRDefault="00E845E7"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E101A"/>
        </w:rPr>
        <w:t xml:space="preserve">Based on documents, </w:t>
      </w:r>
      <w:r w:rsidR="00CA4AD9" w:rsidRPr="004C4F6D">
        <w:rPr>
          <w:rFonts w:ascii="Arial" w:eastAsia="Arial Narrow" w:hAnsi="Arial" w:cs="Arial"/>
          <w:color w:val="0E101A"/>
        </w:rPr>
        <w:t xml:space="preserve">March </w:t>
      </w:r>
      <w:r w:rsidR="004E00D7" w:rsidRPr="004C4F6D">
        <w:rPr>
          <w:rFonts w:ascii="Arial" w:eastAsia="Arial Narrow" w:hAnsi="Arial" w:cs="Arial"/>
          <w:color w:val="0E101A"/>
        </w:rPr>
        <w:t xml:space="preserve">1, </w:t>
      </w:r>
      <w:r w:rsidR="00CA4AD9" w:rsidRPr="004C4F6D">
        <w:rPr>
          <w:rFonts w:ascii="Arial" w:eastAsia="Arial Narrow" w:hAnsi="Arial" w:cs="Arial"/>
          <w:color w:val="0E101A"/>
        </w:rPr>
        <w:t xml:space="preserve">2022 </w:t>
      </w:r>
      <w:r w:rsidR="004E00D7" w:rsidRPr="004C4F6D">
        <w:rPr>
          <w:rFonts w:ascii="Arial" w:eastAsia="Arial Narrow" w:hAnsi="Arial" w:cs="Arial"/>
          <w:color w:val="0E101A"/>
        </w:rPr>
        <w:t>w</w:t>
      </w:r>
      <w:r w:rsidRPr="004C4F6D">
        <w:rPr>
          <w:rFonts w:ascii="Arial" w:eastAsia="Arial Narrow" w:hAnsi="Arial" w:cs="Arial"/>
          <w:color w:val="0E101A"/>
        </w:rPr>
        <w:t>a</w:t>
      </w:r>
      <w:r w:rsidR="00CA4AD9" w:rsidRPr="004C4F6D">
        <w:rPr>
          <w:rFonts w:ascii="Arial" w:eastAsia="Arial Narrow" w:hAnsi="Arial" w:cs="Arial"/>
          <w:color w:val="0E101A"/>
        </w:rPr>
        <w:t xml:space="preserve">s </w:t>
      </w:r>
      <w:r w:rsidR="004C4F6D" w:rsidRPr="004C4F6D">
        <w:rPr>
          <w:rFonts w:ascii="Arial" w:eastAsia="Arial Narrow" w:hAnsi="Arial" w:cs="Arial"/>
          <w:color w:val="0E101A"/>
        </w:rPr>
        <w:t>the date</w:t>
      </w:r>
      <w:r w:rsidR="00FC4B0E" w:rsidRPr="004C4F6D">
        <w:rPr>
          <w:rFonts w:ascii="Arial" w:eastAsia="Arial Narrow" w:hAnsi="Arial" w:cs="Arial"/>
          <w:color w:val="0E101A"/>
        </w:rPr>
        <w:t xml:space="preserve"> of the legal merger</w:t>
      </w:r>
      <w:r w:rsidR="00CA4AD9" w:rsidRPr="004C4F6D">
        <w:rPr>
          <w:rFonts w:ascii="Arial" w:eastAsia="Arial Narrow" w:hAnsi="Arial" w:cs="Arial"/>
          <w:color w:val="0E101A"/>
        </w:rPr>
        <w:t xml:space="preserve"> of LBP and UCPB.</w:t>
      </w:r>
      <w:r w:rsidR="00FC4B0E" w:rsidRPr="004C4F6D">
        <w:rPr>
          <w:rFonts w:ascii="Arial" w:eastAsia="Arial Narrow" w:hAnsi="Arial" w:cs="Arial"/>
          <w:color w:val="0E101A"/>
        </w:rPr>
        <w:t xml:space="preserve">  </w:t>
      </w:r>
      <w:r w:rsidR="00FC4B0E" w:rsidRPr="004C4F6D">
        <w:rPr>
          <w:rFonts w:ascii="Arial" w:eastAsia="Arial Narrow" w:hAnsi="Arial" w:cs="Arial"/>
        </w:rPr>
        <w:t xml:space="preserve">The PFRS 3 defines the acquisition date as the date the acquirer obtains control of the acquiree.  For purposes of reckoning the start of the measurement period, the acquisition date </w:t>
      </w:r>
      <w:r w:rsidRPr="004C4F6D">
        <w:rPr>
          <w:rFonts w:ascii="Arial" w:eastAsia="Arial Narrow" w:hAnsi="Arial" w:cs="Arial"/>
        </w:rPr>
        <w:t>wa</w:t>
      </w:r>
      <w:r w:rsidR="00FC4B0E" w:rsidRPr="004C4F6D">
        <w:rPr>
          <w:rFonts w:ascii="Arial" w:eastAsia="Arial Narrow" w:hAnsi="Arial" w:cs="Arial"/>
        </w:rPr>
        <w:t xml:space="preserve">s 01 March 2022, when legal merger between UCPB and LBP took effect which resulted in UCPB ceasing its operations and combining its net assets to Parent.  </w:t>
      </w:r>
      <w:r w:rsidR="00FC4B0E" w:rsidRPr="004C4F6D">
        <w:rPr>
          <w:rFonts w:ascii="Arial" w:eastAsia="Arial Narrow" w:hAnsi="Arial" w:cs="Arial"/>
          <w:color w:val="0E101A"/>
        </w:rPr>
        <w:t xml:space="preserve">Measurement period is, therefore, until March 2023, </w:t>
      </w:r>
      <w:r w:rsidRPr="004C4F6D">
        <w:rPr>
          <w:rFonts w:ascii="Arial" w:eastAsia="Arial Narrow" w:hAnsi="Arial" w:cs="Arial"/>
          <w:color w:val="0E101A"/>
        </w:rPr>
        <w:t xml:space="preserve">or </w:t>
      </w:r>
      <w:r w:rsidR="00FC4B0E" w:rsidRPr="004C4F6D">
        <w:rPr>
          <w:rFonts w:ascii="Arial" w:eastAsia="Arial Narrow" w:hAnsi="Arial" w:cs="Arial"/>
          <w:color w:val="0E101A"/>
        </w:rPr>
        <w:t xml:space="preserve">one year after the acquisition date. All activities related to the measurement period, conducted subsequent to the reporting date as at December 31, 2022 to March 31, 2023 are also subject to Philippine Accounting Standards (PAS) 10, Events After Reporting Period, </w:t>
      </w:r>
      <w:r w:rsidR="00FC4B0E" w:rsidRPr="004C4F6D">
        <w:rPr>
          <w:rFonts w:ascii="Arial" w:eastAsia="Arial Narrow" w:hAnsi="Arial" w:cs="Arial"/>
        </w:rPr>
        <w:t xml:space="preserve">which contains </w:t>
      </w:r>
      <w:r w:rsidR="00FC4B0E" w:rsidRPr="004C4F6D">
        <w:rPr>
          <w:rFonts w:ascii="Arial" w:eastAsia="Arial Narrow" w:hAnsi="Arial" w:cs="Arial"/>
          <w:i/>
        </w:rPr>
        <w:t>requirements</w:t>
      </w:r>
      <w:r w:rsidR="00FC4B0E" w:rsidRPr="004C4F6D">
        <w:rPr>
          <w:rFonts w:ascii="Arial" w:eastAsia="Arial Narrow" w:hAnsi="Arial" w:cs="Arial"/>
        </w:rPr>
        <w:t xml:space="preserve"> for when </w:t>
      </w:r>
      <w:r w:rsidR="00FC4B0E" w:rsidRPr="004C4F6D">
        <w:rPr>
          <w:rFonts w:ascii="Arial" w:eastAsia="Arial Narrow" w:hAnsi="Arial" w:cs="Arial"/>
          <w:i/>
        </w:rPr>
        <w:t>events after</w:t>
      </w:r>
      <w:r w:rsidR="00FC4B0E" w:rsidRPr="004C4F6D">
        <w:rPr>
          <w:rFonts w:ascii="Arial" w:eastAsia="Arial Narrow" w:hAnsi="Arial" w:cs="Arial"/>
        </w:rPr>
        <w:t xml:space="preserve"> the end of the </w:t>
      </w:r>
      <w:r w:rsidR="00FC4B0E" w:rsidRPr="004C4F6D">
        <w:rPr>
          <w:rFonts w:ascii="Arial" w:eastAsia="Arial Narrow" w:hAnsi="Arial" w:cs="Arial"/>
          <w:i/>
        </w:rPr>
        <w:t>reporting period</w:t>
      </w:r>
      <w:r w:rsidR="00FC4B0E" w:rsidRPr="004C4F6D">
        <w:rPr>
          <w:rFonts w:ascii="Arial" w:eastAsia="Arial Narrow" w:hAnsi="Arial" w:cs="Arial"/>
        </w:rPr>
        <w:t xml:space="preserve"> should be adjusted to or disclosed in the financial statements.</w:t>
      </w:r>
    </w:p>
    <w:p w14:paraId="1B0D8ED8"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rPr>
      </w:pPr>
    </w:p>
    <w:p w14:paraId="722DC1A4" w14:textId="20B79975" w:rsidR="00FC4B0E" w:rsidRPr="004C4F6D" w:rsidRDefault="001055F8"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rPr>
        <w:t>O</w:t>
      </w:r>
      <w:r w:rsidR="00FC4B0E" w:rsidRPr="004C4F6D">
        <w:rPr>
          <w:rFonts w:ascii="Arial" w:eastAsia="Arial Narrow" w:hAnsi="Arial"/>
        </w:rPr>
        <w:t xml:space="preserve">n March 1, 2022, </w:t>
      </w:r>
      <w:r w:rsidR="00CA4AD9" w:rsidRPr="004C4F6D">
        <w:rPr>
          <w:rFonts w:ascii="Arial" w:eastAsia="Arial Narrow" w:hAnsi="Arial"/>
        </w:rPr>
        <w:t>LBP used the provisional amounts allowed in PFRS 3 – Business Combination. T</w:t>
      </w:r>
      <w:r w:rsidR="00FC4B0E" w:rsidRPr="004C4F6D">
        <w:rPr>
          <w:rFonts w:ascii="Arial" w:eastAsia="Arial Narrow" w:hAnsi="Arial"/>
        </w:rPr>
        <w:t xml:space="preserve">he FAD booked the UCPB Assets and Liabilities accounts, including the Loans and Receivable of P146,503,102,627.78, as provisional amount based on the UCPB Trial Balance as of February 28, 2022. Of the amount transferred, P92,485,800,679.79 is outstanding as at 31 December 2022. On inquiry whether there have been adjustments to the provisional amounts initially recognized, the FAD of LBP responded that after the validations </w:t>
      </w:r>
      <w:r w:rsidR="00CA4AD9" w:rsidRPr="004C4F6D">
        <w:rPr>
          <w:rFonts w:ascii="Arial" w:eastAsia="Arial Narrow" w:hAnsi="Arial"/>
        </w:rPr>
        <w:t xml:space="preserve">(as to existence and accuracy) </w:t>
      </w:r>
      <w:r w:rsidR="00FC4B0E" w:rsidRPr="004C4F6D">
        <w:rPr>
          <w:rFonts w:ascii="Arial" w:eastAsia="Arial Narrow" w:hAnsi="Arial"/>
        </w:rPr>
        <w:t xml:space="preserve">were performed by the absorbing units during the pre-merger activities and revalidations </w:t>
      </w:r>
      <w:r w:rsidR="00CA4AD9" w:rsidRPr="004C4F6D">
        <w:rPr>
          <w:rFonts w:ascii="Arial" w:eastAsia="Arial Narrow" w:hAnsi="Arial"/>
        </w:rPr>
        <w:t xml:space="preserve">undertaken </w:t>
      </w:r>
      <w:r w:rsidR="00FC4B0E" w:rsidRPr="004C4F6D">
        <w:rPr>
          <w:rFonts w:ascii="Arial" w:eastAsia="Arial Narrow" w:hAnsi="Arial"/>
        </w:rPr>
        <w:t>during the actual turnover of accounts and transfer of the General Ledger (GL) balances to the respective booking units, no adjusting entry as a result of those validations has been recorded.</w:t>
      </w:r>
    </w:p>
    <w:p w14:paraId="606AB43A" w14:textId="77777777" w:rsidR="00FC4B0E" w:rsidRPr="004C4F6D" w:rsidRDefault="00FC4B0E" w:rsidP="004C4F6D">
      <w:pPr>
        <w:pStyle w:val="ListParagraph"/>
        <w:spacing w:after="0" w:line="240" w:lineRule="auto"/>
        <w:rPr>
          <w:rFonts w:ascii="Arial" w:hAnsi="Arial" w:cs="Arial"/>
        </w:rPr>
      </w:pPr>
    </w:p>
    <w:p w14:paraId="7890F473" w14:textId="21651262" w:rsidR="00FC4B0E" w:rsidRPr="004C4F6D" w:rsidRDefault="00AB374F" w:rsidP="004C4F6D">
      <w:pPr>
        <w:pStyle w:val="ListParagraph"/>
        <w:numPr>
          <w:ilvl w:val="1"/>
          <w:numId w:val="8"/>
        </w:numPr>
        <w:autoSpaceDE w:val="0"/>
        <w:autoSpaceDN w:val="0"/>
        <w:adjustRightInd w:val="0"/>
        <w:spacing w:after="0" w:line="240" w:lineRule="auto"/>
        <w:ind w:left="0" w:firstLine="0"/>
        <w:jc w:val="both"/>
        <w:rPr>
          <w:rFonts w:ascii="Arial" w:eastAsia="Arial Narrow" w:hAnsi="Arial"/>
          <w:color w:val="0E101A"/>
        </w:rPr>
      </w:pPr>
      <w:r w:rsidRPr="004C4F6D">
        <w:rPr>
          <w:rFonts w:ascii="Arial" w:eastAsia="Arial Narrow" w:hAnsi="Arial"/>
          <w:color w:val="0E101A"/>
        </w:rPr>
        <w:lastRenderedPageBreak/>
        <w:t>The Loan Operations Management Department (LOMD) and FAD averred that the Loans Receivable balance amounting to P146,503,102,627.78 as of March 01,</w:t>
      </w:r>
      <w:r w:rsidR="007C303C">
        <w:rPr>
          <w:rFonts w:ascii="Arial" w:eastAsia="Arial Narrow" w:hAnsi="Arial"/>
          <w:color w:val="0E101A"/>
        </w:rPr>
        <w:t xml:space="preserve"> </w:t>
      </w:r>
      <w:r w:rsidRPr="004C4F6D">
        <w:rPr>
          <w:rFonts w:ascii="Arial" w:eastAsia="Arial Narrow" w:hAnsi="Arial"/>
          <w:color w:val="0E101A"/>
        </w:rPr>
        <w:t>2022 pertains to gross amount of loans, with net outstanding balance amounting to P136,963,676,057.85 which is reconciled with the total SL balance</w:t>
      </w:r>
      <w:r w:rsidR="003F03FE" w:rsidRPr="004C4F6D">
        <w:rPr>
          <w:rFonts w:ascii="Arial" w:eastAsia="Arial Narrow" w:hAnsi="Arial"/>
          <w:color w:val="0E101A"/>
        </w:rPr>
        <w:t xml:space="preserve">. </w:t>
      </w:r>
      <w:r w:rsidR="00FC4B0E" w:rsidRPr="004C4F6D">
        <w:rPr>
          <w:rFonts w:ascii="Arial" w:eastAsia="Arial Narrow" w:hAnsi="Arial"/>
          <w:color w:val="0E101A"/>
        </w:rPr>
        <w:t>They provided the revised summary of accounting entry which according to them includes historical adjustments on March 1, 2022</w:t>
      </w:r>
      <w:r w:rsidR="003F03FE" w:rsidRPr="004C4F6D">
        <w:rPr>
          <w:rFonts w:ascii="Arial" w:eastAsia="Arial Narrow" w:hAnsi="Arial"/>
          <w:color w:val="0E101A"/>
        </w:rPr>
        <w:t>,</w:t>
      </w:r>
      <w:r w:rsidR="00FC4B0E" w:rsidRPr="004C4F6D">
        <w:rPr>
          <w:rFonts w:ascii="Arial" w:eastAsia="Arial Narrow" w:hAnsi="Arial"/>
          <w:color w:val="0E101A"/>
        </w:rPr>
        <w:t xml:space="preserve"> and correction of balances due to misclassification of accounts in the manual journal entry. We were not, however, able to verify the historical adjustments made on March 1, 2022, as well as the said correction of balances, as no additional documents on </w:t>
      </w:r>
      <w:r w:rsidR="003F03FE" w:rsidRPr="004C4F6D">
        <w:rPr>
          <w:rFonts w:ascii="Arial" w:eastAsia="Arial Narrow" w:hAnsi="Arial"/>
          <w:color w:val="0E101A"/>
        </w:rPr>
        <w:t xml:space="preserve">its </w:t>
      </w:r>
      <w:r w:rsidR="00FC4B0E" w:rsidRPr="004C4F6D">
        <w:rPr>
          <w:rFonts w:ascii="Arial" w:eastAsia="Arial Narrow" w:hAnsi="Arial"/>
          <w:color w:val="0E101A"/>
        </w:rPr>
        <w:t xml:space="preserve">details were provided to support the summary of accounting entry.  That summary only showed selected financial statement accounts, including Loan Receivables, showing total adjustments per account and the balances before and after the adjustments. The LOMD confirmed that the booking of Loans and Receivable was limited to the General Ledger and SL or the SIBS, a loan system used by the UCPB. According to the Migration Task Force (MTF), they could not determine if there was any discrepancy between loan folder and the GL/SL, since they did not have access to the SIBS. </w:t>
      </w:r>
      <w:r w:rsidR="003F03FE" w:rsidRPr="004C4F6D">
        <w:rPr>
          <w:rFonts w:ascii="Arial" w:eastAsia="Arial Narrow" w:hAnsi="Arial"/>
          <w:color w:val="0E101A"/>
        </w:rPr>
        <w:t>T</w:t>
      </w:r>
      <w:r w:rsidR="00FC4B0E" w:rsidRPr="004C4F6D">
        <w:rPr>
          <w:rFonts w:ascii="Arial" w:eastAsia="Arial Narrow" w:hAnsi="Arial"/>
          <w:color w:val="0E101A"/>
        </w:rPr>
        <w:t xml:space="preserve">hey </w:t>
      </w:r>
      <w:r w:rsidR="003F03FE" w:rsidRPr="004C4F6D">
        <w:rPr>
          <w:rFonts w:ascii="Arial" w:eastAsia="Arial Narrow" w:hAnsi="Arial"/>
          <w:color w:val="0E101A"/>
        </w:rPr>
        <w:t xml:space="preserve">further </w:t>
      </w:r>
      <w:r w:rsidR="00FC4B0E" w:rsidRPr="004C4F6D">
        <w:rPr>
          <w:rFonts w:ascii="Arial" w:eastAsia="Arial Narrow" w:hAnsi="Arial"/>
          <w:color w:val="0E101A"/>
        </w:rPr>
        <w:t>averred that the transmittal sheet provided by the Lending Support Department (LSD) of the UCPB has no information regarding loan balances.</w:t>
      </w:r>
    </w:p>
    <w:p w14:paraId="6BFEE8BE" w14:textId="77777777" w:rsidR="00FC4B0E" w:rsidRPr="004C4F6D" w:rsidRDefault="00FC4B0E" w:rsidP="004C4F6D">
      <w:pPr>
        <w:pStyle w:val="ListParagraph"/>
        <w:autoSpaceDE w:val="0"/>
        <w:autoSpaceDN w:val="0"/>
        <w:adjustRightInd w:val="0"/>
        <w:spacing w:after="0" w:line="240" w:lineRule="auto"/>
        <w:ind w:left="0"/>
        <w:jc w:val="both"/>
        <w:rPr>
          <w:rFonts w:ascii="Arial" w:eastAsia="Arial Narrow" w:hAnsi="Arial"/>
          <w:color w:val="0E101A"/>
        </w:rPr>
      </w:pPr>
    </w:p>
    <w:p w14:paraId="2D33C2BA" w14:textId="66F618D6" w:rsidR="00FC4B0E" w:rsidRPr="004C4F6D" w:rsidRDefault="00C45D25" w:rsidP="004C4F6D">
      <w:pPr>
        <w:pStyle w:val="ListParagraph"/>
        <w:numPr>
          <w:ilvl w:val="1"/>
          <w:numId w:val="8"/>
        </w:numPr>
        <w:autoSpaceDE w:val="0"/>
        <w:autoSpaceDN w:val="0"/>
        <w:adjustRightInd w:val="0"/>
        <w:spacing w:after="0" w:line="240" w:lineRule="auto"/>
        <w:ind w:left="0" w:firstLine="0"/>
        <w:jc w:val="both"/>
        <w:rPr>
          <w:rFonts w:ascii="Arial" w:eastAsia="Arial Narrow" w:hAnsi="Arial"/>
        </w:rPr>
      </w:pPr>
      <w:r w:rsidRPr="004C4F6D">
        <w:rPr>
          <w:rFonts w:ascii="Arial" w:eastAsia="Arial Narrow" w:hAnsi="Arial"/>
          <w:color w:val="0E101A"/>
        </w:rPr>
        <w:t>Moreover, t</w:t>
      </w:r>
      <w:r w:rsidR="00D716AB" w:rsidRPr="004C4F6D">
        <w:rPr>
          <w:rFonts w:ascii="Arial" w:eastAsia="Arial Narrow" w:hAnsi="Arial"/>
          <w:color w:val="0E101A"/>
        </w:rPr>
        <w:t xml:space="preserve">he audit team </w:t>
      </w:r>
      <w:r w:rsidR="00FC4B0E" w:rsidRPr="004C4F6D">
        <w:rPr>
          <w:rFonts w:ascii="Arial" w:eastAsia="Arial Narrow" w:hAnsi="Arial"/>
        </w:rPr>
        <w:t>looked into the status of the completion of the required Inventory of credit/loan records</w:t>
      </w:r>
      <w:r w:rsidR="008E6617" w:rsidRPr="004C4F6D">
        <w:rPr>
          <w:rFonts w:ascii="Arial" w:eastAsia="Arial Narrow" w:hAnsi="Arial"/>
        </w:rPr>
        <w:t xml:space="preserve"> by UCPB and LBP</w:t>
      </w:r>
      <w:r w:rsidR="00FC4B0E" w:rsidRPr="004C4F6D">
        <w:rPr>
          <w:rFonts w:ascii="Arial" w:eastAsia="Arial Narrow" w:hAnsi="Arial"/>
        </w:rPr>
        <w:t xml:space="preserve">, validation of SL items, reconciliation, identification and resolution of discrepancies, which </w:t>
      </w:r>
      <w:r w:rsidR="00D716AB" w:rsidRPr="004C4F6D">
        <w:rPr>
          <w:rFonts w:ascii="Arial" w:eastAsia="Arial Narrow" w:hAnsi="Arial"/>
        </w:rPr>
        <w:t>are required merger activities under LBP EO Nos. 104 and 109 and</w:t>
      </w:r>
      <w:r w:rsidR="00FC4B0E" w:rsidRPr="004C4F6D">
        <w:rPr>
          <w:rFonts w:ascii="Arial" w:eastAsia="Arial Narrow" w:hAnsi="Arial"/>
        </w:rPr>
        <w:t xml:space="preserve"> necessary to support existence and completeness of the reported loan balances transferred from UCPB to LBP.</w:t>
      </w:r>
    </w:p>
    <w:p w14:paraId="2227754F" w14:textId="77777777" w:rsidR="00C45D25" w:rsidRPr="004C4F6D" w:rsidRDefault="00C45D25" w:rsidP="004C4F6D">
      <w:pPr>
        <w:pStyle w:val="ListParagraph"/>
        <w:autoSpaceDE w:val="0"/>
        <w:autoSpaceDN w:val="0"/>
        <w:adjustRightInd w:val="0"/>
        <w:spacing w:after="0" w:line="240" w:lineRule="auto"/>
        <w:ind w:left="0"/>
        <w:jc w:val="both"/>
        <w:rPr>
          <w:rFonts w:ascii="Arial" w:eastAsia="Arial Narrow" w:hAnsi="Arial"/>
          <w:color w:val="0E101A"/>
        </w:rPr>
      </w:pPr>
    </w:p>
    <w:p w14:paraId="72E83B18" w14:textId="444C7985" w:rsidR="00FC4B0E" w:rsidRPr="004C4F6D" w:rsidRDefault="004319E2"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For</w:t>
      </w:r>
      <w:r w:rsidR="008E6617" w:rsidRPr="004C4F6D">
        <w:rPr>
          <w:rFonts w:ascii="Arial" w:eastAsia="Arial Narrow" w:hAnsi="Arial" w:cs="Arial"/>
        </w:rPr>
        <w:t xml:space="preserve"> sampled</w:t>
      </w:r>
      <w:r w:rsidR="00FC4B0E" w:rsidRPr="004C4F6D">
        <w:rPr>
          <w:rFonts w:ascii="Arial" w:eastAsia="Arial Narrow" w:hAnsi="Arial" w:cs="Arial"/>
        </w:rPr>
        <w:t xml:space="preserve"> 82 borrowers</w:t>
      </w:r>
      <w:r w:rsidRPr="004C4F6D">
        <w:rPr>
          <w:rFonts w:ascii="Arial" w:eastAsia="Arial Narrow" w:hAnsi="Arial" w:cs="Arial"/>
        </w:rPr>
        <w:t>, the following documents</w:t>
      </w:r>
      <w:r w:rsidR="00FC4B0E" w:rsidRPr="004C4F6D">
        <w:rPr>
          <w:rFonts w:ascii="Arial" w:eastAsia="Arial Narrow" w:hAnsi="Arial" w:cs="Arial"/>
        </w:rPr>
        <w:t xml:space="preserve"> </w:t>
      </w:r>
      <w:r w:rsidR="00717F57" w:rsidRPr="004C4F6D">
        <w:rPr>
          <w:rFonts w:ascii="Arial" w:eastAsia="Arial Narrow" w:hAnsi="Arial" w:cs="Arial"/>
        </w:rPr>
        <w:t>were requested</w:t>
      </w:r>
      <w:r w:rsidRPr="004C4F6D">
        <w:rPr>
          <w:rFonts w:ascii="Arial" w:eastAsia="Arial Narrow" w:hAnsi="Arial" w:cs="Arial"/>
        </w:rPr>
        <w:t xml:space="preserve"> for the validation of the inventory and turnover of loan documents by UCPB and validated for completeness by LBP</w:t>
      </w:r>
      <w:r w:rsidR="00FC4B0E" w:rsidRPr="004C4F6D">
        <w:rPr>
          <w:rFonts w:ascii="Arial" w:eastAsia="Arial Narrow" w:hAnsi="Arial" w:cs="Arial"/>
        </w:rPr>
        <w:t>:</w:t>
      </w:r>
    </w:p>
    <w:p w14:paraId="522FFFAE" w14:textId="77777777" w:rsidR="00FC4B0E" w:rsidRPr="004C4F6D" w:rsidRDefault="00FC4B0E" w:rsidP="004C4F6D">
      <w:pPr>
        <w:pStyle w:val="ListParagraph"/>
        <w:autoSpaceDE w:val="0"/>
        <w:autoSpaceDN w:val="0"/>
        <w:adjustRightInd w:val="0"/>
        <w:spacing w:after="0" w:line="240" w:lineRule="auto"/>
        <w:ind w:left="709"/>
        <w:jc w:val="both"/>
        <w:rPr>
          <w:rFonts w:ascii="Arial" w:hAnsi="Arial" w:cs="Arial"/>
        </w:rPr>
      </w:pPr>
    </w:p>
    <w:p w14:paraId="167088B6" w14:textId="309E129C" w:rsidR="00FC4B0E" w:rsidRPr="004C4F6D" w:rsidRDefault="004319E2" w:rsidP="004C4F6D">
      <w:pPr>
        <w:spacing w:after="0" w:line="240" w:lineRule="auto"/>
        <w:ind w:left="709" w:right="860"/>
        <w:jc w:val="both"/>
        <w:rPr>
          <w:rFonts w:ascii="Arial" w:eastAsia="Arial Narrow" w:hAnsi="Arial" w:cs="Arial"/>
        </w:rPr>
      </w:pPr>
      <w:r w:rsidRPr="004C4F6D">
        <w:rPr>
          <w:rFonts w:ascii="Arial" w:eastAsia="Arial Narrow" w:hAnsi="Arial" w:cs="Arial"/>
        </w:rPr>
        <w:t xml:space="preserve">a. </w:t>
      </w:r>
      <w:r w:rsidR="00FC4B0E" w:rsidRPr="004C4F6D">
        <w:rPr>
          <w:rFonts w:ascii="Arial" w:eastAsia="Arial Narrow" w:hAnsi="Arial" w:cs="Arial"/>
        </w:rPr>
        <w:t>Account Documentation Checklist (ADC) per borrower</w:t>
      </w:r>
    </w:p>
    <w:p w14:paraId="76396111" w14:textId="227A27B9" w:rsidR="00FC4B0E" w:rsidRPr="004C4F6D" w:rsidRDefault="004319E2" w:rsidP="004C4F6D">
      <w:pPr>
        <w:spacing w:after="0" w:line="240" w:lineRule="auto"/>
        <w:ind w:left="709" w:right="860"/>
        <w:jc w:val="both"/>
        <w:rPr>
          <w:rFonts w:ascii="Arial" w:eastAsia="Arial Narrow" w:hAnsi="Arial" w:cs="Arial"/>
        </w:rPr>
      </w:pPr>
      <w:r w:rsidRPr="004C4F6D">
        <w:rPr>
          <w:rFonts w:ascii="Arial" w:eastAsia="Arial Narrow" w:hAnsi="Arial" w:cs="Arial"/>
        </w:rPr>
        <w:t xml:space="preserve">b. </w:t>
      </w:r>
      <w:r w:rsidR="00FC4B0E" w:rsidRPr="004C4F6D">
        <w:rPr>
          <w:rFonts w:ascii="Arial" w:eastAsia="Arial Narrow" w:hAnsi="Arial" w:cs="Arial"/>
        </w:rPr>
        <w:t>Account/</w:t>
      </w:r>
      <w:r w:rsidR="00517424" w:rsidRPr="004C4F6D">
        <w:rPr>
          <w:rFonts w:ascii="Arial" w:eastAsia="Arial Narrow" w:hAnsi="Arial" w:cs="Arial"/>
        </w:rPr>
        <w:t xml:space="preserve"> </w:t>
      </w:r>
      <w:r w:rsidR="00FC4B0E" w:rsidRPr="004C4F6D">
        <w:rPr>
          <w:rFonts w:ascii="Arial" w:eastAsia="Arial Narrow" w:hAnsi="Arial" w:cs="Arial"/>
        </w:rPr>
        <w:t>Executive Brief per corporate account</w:t>
      </w:r>
    </w:p>
    <w:p w14:paraId="124DB6CD" w14:textId="5809C743" w:rsidR="00FC4B0E" w:rsidRPr="004C4F6D" w:rsidRDefault="004319E2" w:rsidP="004C4F6D">
      <w:pPr>
        <w:spacing w:after="0" w:line="240" w:lineRule="auto"/>
        <w:ind w:left="709" w:right="860"/>
        <w:jc w:val="both"/>
        <w:rPr>
          <w:rFonts w:ascii="Arial" w:eastAsia="Arial Narrow" w:hAnsi="Arial" w:cs="Arial"/>
        </w:rPr>
      </w:pPr>
      <w:r w:rsidRPr="004C4F6D">
        <w:rPr>
          <w:rFonts w:ascii="Arial" w:eastAsia="Arial Narrow" w:hAnsi="Arial" w:cs="Arial"/>
        </w:rPr>
        <w:t xml:space="preserve">c. </w:t>
      </w:r>
      <w:r w:rsidR="00FC4B0E" w:rsidRPr="004C4F6D">
        <w:rPr>
          <w:rFonts w:ascii="Arial" w:eastAsia="Arial Narrow" w:hAnsi="Arial" w:cs="Arial"/>
        </w:rPr>
        <w:t>Documents for turnover checklist</w:t>
      </w:r>
    </w:p>
    <w:p w14:paraId="4A6A800F" w14:textId="77777777" w:rsidR="00FC4B0E" w:rsidRPr="004C4F6D" w:rsidRDefault="00FC4B0E" w:rsidP="004C4F6D">
      <w:pPr>
        <w:spacing w:after="0" w:line="240" w:lineRule="auto"/>
        <w:ind w:left="2320" w:right="860" w:hanging="280"/>
        <w:jc w:val="both"/>
        <w:rPr>
          <w:rFonts w:ascii="Arial" w:eastAsia="Arial Narrow" w:hAnsi="Arial" w:cs="Arial"/>
        </w:rPr>
      </w:pPr>
    </w:p>
    <w:p w14:paraId="3BD8CFFB" w14:textId="05D79551" w:rsidR="00307165"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eastAsia="Arial Narrow" w:hAnsi="Arial"/>
        </w:rPr>
      </w:pPr>
      <w:r w:rsidRPr="004C4F6D">
        <w:rPr>
          <w:rFonts w:ascii="Arial" w:eastAsia="Arial Narrow" w:hAnsi="Arial"/>
        </w:rPr>
        <w:t xml:space="preserve">In </w:t>
      </w:r>
      <w:r w:rsidR="00EB452A" w:rsidRPr="004C4F6D">
        <w:rPr>
          <w:rFonts w:ascii="Arial" w:eastAsia="Arial Narrow" w:hAnsi="Arial"/>
        </w:rPr>
        <w:t>a</w:t>
      </w:r>
      <w:r w:rsidRPr="004C4F6D">
        <w:rPr>
          <w:rFonts w:ascii="Arial" w:eastAsia="Arial Narrow" w:hAnsi="Arial"/>
        </w:rPr>
        <w:t xml:space="preserve"> meeting</w:t>
      </w:r>
      <w:r w:rsidR="004319E2" w:rsidRPr="004C4F6D">
        <w:rPr>
          <w:rFonts w:ascii="Arial" w:eastAsia="Arial Narrow" w:hAnsi="Arial"/>
        </w:rPr>
        <w:t xml:space="preserve"> held on March 30, 2023 with Lending Units, LOMD and Loan Recovery Department (LRD)</w:t>
      </w:r>
      <w:r w:rsidRPr="004C4F6D">
        <w:rPr>
          <w:rFonts w:ascii="Arial" w:eastAsia="Arial Narrow" w:hAnsi="Arial"/>
        </w:rPr>
        <w:t xml:space="preserve">, </w:t>
      </w:r>
      <w:r w:rsidR="004319E2" w:rsidRPr="004C4F6D">
        <w:rPr>
          <w:rFonts w:ascii="Arial" w:eastAsia="Arial Narrow" w:hAnsi="Arial"/>
        </w:rPr>
        <w:t>it was</w:t>
      </w:r>
      <w:r w:rsidRPr="004C4F6D">
        <w:rPr>
          <w:rFonts w:ascii="Arial" w:eastAsia="Arial Narrow" w:hAnsi="Arial"/>
        </w:rPr>
        <w:t xml:space="preserve"> informed that </w:t>
      </w:r>
      <w:r w:rsidR="004319E2" w:rsidRPr="004C4F6D">
        <w:rPr>
          <w:rFonts w:ascii="Arial" w:eastAsia="Arial Narrow" w:hAnsi="Arial"/>
        </w:rPr>
        <w:t xml:space="preserve">the </w:t>
      </w:r>
      <w:r w:rsidRPr="004C4F6D">
        <w:rPr>
          <w:rFonts w:ascii="Arial" w:eastAsia="Arial Narrow" w:hAnsi="Arial"/>
        </w:rPr>
        <w:t xml:space="preserve">requested documents </w:t>
      </w:r>
      <w:r w:rsidR="004319E2" w:rsidRPr="004C4F6D">
        <w:rPr>
          <w:rFonts w:ascii="Arial" w:eastAsia="Arial Narrow" w:hAnsi="Arial"/>
        </w:rPr>
        <w:t xml:space="preserve">could not be provided </w:t>
      </w:r>
      <w:r w:rsidRPr="004C4F6D">
        <w:rPr>
          <w:rFonts w:ascii="Arial" w:eastAsia="Arial Narrow" w:hAnsi="Arial"/>
        </w:rPr>
        <w:t xml:space="preserve">and disclosed what actually transpired during the transfer of documents and booking of transactions.  In response, the audit team requested submission not later than April 14, 2023 of alternative documents to support conduct of inventory and turnover of loan documents.  On May 30, 2023, Management provided via email file folder containing ADCs, listings of legal, loan and collateral documents of eight (8) borrowers. The audit team returned submissions with audit comments citing requested submissions were incomplete, documents not signed, documents without details, documents which could not be traced to a particular borrower, turnover documents not duly signed by the preparer and not duly acknowledged by the receiver. </w:t>
      </w:r>
    </w:p>
    <w:p w14:paraId="1D81A9D0" w14:textId="77777777" w:rsidR="00307165" w:rsidRPr="004C4F6D" w:rsidRDefault="00307165" w:rsidP="004C4F6D">
      <w:pPr>
        <w:pStyle w:val="ListParagraph"/>
        <w:autoSpaceDE w:val="0"/>
        <w:autoSpaceDN w:val="0"/>
        <w:adjustRightInd w:val="0"/>
        <w:spacing w:after="0" w:line="240" w:lineRule="auto"/>
        <w:ind w:left="0"/>
        <w:jc w:val="both"/>
        <w:rPr>
          <w:rFonts w:ascii="Arial" w:eastAsia="Arial Narrow" w:hAnsi="Arial"/>
        </w:rPr>
      </w:pPr>
    </w:p>
    <w:p w14:paraId="72BF9204" w14:textId="5B2A0B1B"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eastAsia="Arial Narrow" w:hAnsi="Arial"/>
        </w:rPr>
      </w:pPr>
      <w:r w:rsidRPr="004C4F6D">
        <w:rPr>
          <w:rFonts w:ascii="Arial" w:eastAsia="Arial Narrow" w:hAnsi="Arial"/>
        </w:rPr>
        <w:t xml:space="preserve"> </w:t>
      </w:r>
      <w:r w:rsidR="00307165" w:rsidRPr="004C4F6D">
        <w:rPr>
          <w:rFonts w:ascii="Arial" w:eastAsia="Arial Narrow" w:hAnsi="Arial"/>
        </w:rPr>
        <w:t xml:space="preserve">The audit team </w:t>
      </w:r>
      <w:r w:rsidRPr="004C4F6D">
        <w:rPr>
          <w:rFonts w:ascii="Arial" w:eastAsia="Arial Narrow" w:hAnsi="Arial"/>
        </w:rPr>
        <w:t>could not rely on the submissions made and it only established the information we gathered during the meeting of March 30, 2023, that LBP and UCBP personnel were not able to adhere to the procedures outlined in LBP EO 109 and that the UCPB employees responsible for preparing the inventory and turnover of documents did not prepare the checklist and did not thoroughly verify the turned over documents due to the high volume of work and mass resignation or transfer of personnel during the merging process.</w:t>
      </w:r>
    </w:p>
    <w:p w14:paraId="69F76AA7" w14:textId="3A87F907"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222222"/>
        </w:rPr>
        <w:lastRenderedPageBreak/>
        <w:t>One of the causes cited also for the non-conduct of inventory and turnover was the change in Management directive implemented, requiring all occupants to vacate the former UCPB Makati Office immediately after the merger, due to the approved sale of property to Securities and Exchange Commission (SEC). It has been stated that the Makati Office was being considered by the Bank as a potential alternative site for conducting its banking and other operations in the area. Therefore, it was necessary to accelerate the transfer of all UCPB documents, office equipment, and other fixed assets, including personnel.</w:t>
      </w:r>
    </w:p>
    <w:p w14:paraId="53C3863F" w14:textId="77777777" w:rsidR="00FC4B0E" w:rsidRPr="004C4F6D" w:rsidRDefault="00FC4B0E" w:rsidP="004C4F6D">
      <w:pPr>
        <w:pStyle w:val="ListParagraph"/>
        <w:spacing w:after="0" w:line="240" w:lineRule="auto"/>
        <w:rPr>
          <w:rFonts w:ascii="Arial" w:hAnsi="Arial" w:cs="Arial"/>
        </w:rPr>
      </w:pPr>
    </w:p>
    <w:p w14:paraId="0F020937" w14:textId="0D6948A7" w:rsidR="00FC4B0E" w:rsidRPr="004C4F6D" w:rsidRDefault="00307165"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The audit team was</w:t>
      </w:r>
      <w:r w:rsidR="00FC4B0E" w:rsidRPr="004C4F6D">
        <w:rPr>
          <w:rFonts w:ascii="Arial" w:eastAsia="Arial Narrow" w:hAnsi="Arial" w:cs="Arial"/>
        </w:rPr>
        <w:t xml:space="preserve"> also apprised that all the UCPB loan folders were safe</w:t>
      </w:r>
      <w:r w:rsidR="00517424" w:rsidRPr="004C4F6D">
        <w:rPr>
          <w:rFonts w:ascii="Arial" w:eastAsia="Arial Narrow" w:hAnsi="Arial" w:cs="Arial"/>
        </w:rPr>
        <w:t xml:space="preserve"> </w:t>
      </w:r>
      <w:r w:rsidR="00FC4B0E" w:rsidRPr="004C4F6D">
        <w:rPr>
          <w:rFonts w:ascii="Arial" w:eastAsia="Arial Narrow" w:hAnsi="Arial" w:cs="Arial"/>
        </w:rPr>
        <w:t>kept by the Lending Operations Department (LOD) of UCPB, the counterpart of LOMD in LBP, and that no turnover of documents was performed since the employees of the LOD were transferred to the LOMD. LBP retained all the employees of LOD, however, most of the LOD employees eventually resigned for reasons which, according to them, were due to the high volume of workload at LBP, among others.</w:t>
      </w:r>
    </w:p>
    <w:p w14:paraId="5C282CCA" w14:textId="77777777" w:rsidR="00FC4B0E" w:rsidRPr="004C4F6D" w:rsidRDefault="00FC4B0E" w:rsidP="004C4F6D">
      <w:pPr>
        <w:pStyle w:val="ListParagraph"/>
        <w:spacing w:after="0" w:line="240" w:lineRule="auto"/>
        <w:rPr>
          <w:rFonts w:ascii="Arial" w:hAnsi="Arial" w:cs="Arial"/>
        </w:rPr>
      </w:pPr>
    </w:p>
    <w:p w14:paraId="0C4B28DD" w14:textId="19E041D3" w:rsidR="00FC4B0E" w:rsidRPr="004C4F6D" w:rsidRDefault="00307165" w:rsidP="004C4F6D">
      <w:pPr>
        <w:pStyle w:val="ListParagraph"/>
        <w:numPr>
          <w:ilvl w:val="1"/>
          <w:numId w:val="8"/>
        </w:numPr>
        <w:autoSpaceDE w:val="0"/>
        <w:autoSpaceDN w:val="0"/>
        <w:adjustRightInd w:val="0"/>
        <w:spacing w:after="0" w:line="240" w:lineRule="auto"/>
        <w:ind w:left="0" w:firstLine="0"/>
        <w:jc w:val="both"/>
        <w:rPr>
          <w:rFonts w:ascii="Arial" w:eastAsia="Arial Narrow" w:hAnsi="Arial"/>
          <w:lang w:val="en-US"/>
        </w:rPr>
      </w:pPr>
      <w:r w:rsidRPr="004C4F6D">
        <w:rPr>
          <w:rFonts w:ascii="Arial" w:eastAsia="Arial Narrow" w:hAnsi="Arial"/>
        </w:rPr>
        <w:t xml:space="preserve">It was also </w:t>
      </w:r>
      <w:r w:rsidR="00FC4B0E" w:rsidRPr="004C4F6D">
        <w:rPr>
          <w:rFonts w:ascii="Arial" w:eastAsia="Arial Narrow" w:hAnsi="Arial"/>
        </w:rPr>
        <w:t>informed that the loan folders safe</w:t>
      </w:r>
      <w:r w:rsidR="00517424" w:rsidRPr="004C4F6D">
        <w:rPr>
          <w:rFonts w:ascii="Arial" w:eastAsia="Arial Narrow" w:hAnsi="Arial"/>
        </w:rPr>
        <w:t xml:space="preserve"> </w:t>
      </w:r>
      <w:r w:rsidR="00FC4B0E" w:rsidRPr="004C4F6D">
        <w:rPr>
          <w:rFonts w:ascii="Arial" w:eastAsia="Arial Narrow" w:hAnsi="Arial"/>
        </w:rPr>
        <w:t xml:space="preserve">kept by LOD were immediately transmitted to the corresponding Lending Centers/Units or departments based on the location or type of the loan determined by the Lending Support Department (LSD). The transfer of documents took place one month before the effectivity of the merger on March 1, 2022. Management, however, disclosed that due to the immediate transmittal, and the volume of UCPB accounts, not all folders were checked. They averred that even for the folders that were checked, there was insufficient time to inspect if any of the documents were missing and that, even if the AO identified missing documents, the unlocated document could not be retrieved since most of the employees of UCPB who handled the folders had resigned. The AOs also mentioned that handling the UCPB borrowers/accounts was an additional assignment to their existing job responsibilities.  It was </w:t>
      </w:r>
      <w:r w:rsidRPr="004C4F6D">
        <w:rPr>
          <w:rFonts w:ascii="Arial" w:eastAsia="Arial Narrow" w:hAnsi="Arial"/>
        </w:rPr>
        <w:t xml:space="preserve">further </w:t>
      </w:r>
      <w:r w:rsidR="00FC4B0E" w:rsidRPr="004C4F6D">
        <w:rPr>
          <w:rFonts w:ascii="Arial" w:eastAsia="Arial Narrow" w:hAnsi="Arial"/>
        </w:rPr>
        <w:t>disclosed that there was an agreement between LBP and UCPB, that Account Officers (AOs) would only contact UCPB borrowers or ask for any documents if the borrower was due for loan restructuring or renewal</w:t>
      </w:r>
      <w:r w:rsidR="00FC4B0E" w:rsidRPr="004C4F6D">
        <w:rPr>
          <w:rFonts w:ascii="Arial" w:eastAsia="Arial Narrow" w:hAnsi="Arial"/>
          <w:lang w:val="en-US"/>
        </w:rPr>
        <w:t>.</w:t>
      </w:r>
    </w:p>
    <w:p w14:paraId="3A6B53D8" w14:textId="77777777" w:rsidR="00FC4B0E" w:rsidRPr="004C4F6D" w:rsidRDefault="00FC4B0E" w:rsidP="004C4F6D">
      <w:pPr>
        <w:pStyle w:val="ListParagraph"/>
        <w:autoSpaceDE w:val="0"/>
        <w:autoSpaceDN w:val="0"/>
        <w:adjustRightInd w:val="0"/>
        <w:spacing w:after="0" w:line="240" w:lineRule="auto"/>
        <w:ind w:left="0"/>
        <w:jc w:val="both"/>
        <w:rPr>
          <w:rFonts w:ascii="Arial" w:eastAsia="Arial Narrow" w:hAnsi="Arial"/>
          <w:lang w:val="en-US"/>
        </w:rPr>
      </w:pPr>
    </w:p>
    <w:p w14:paraId="427C49BB" w14:textId="7502EE33" w:rsidR="00FC4B0E" w:rsidRPr="004C4F6D" w:rsidRDefault="004F352A"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 xml:space="preserve">On July </w:t>
      </w:r>
      <w:r w:rsidR="00E0540C" w:rsidRPr="004C4F6D">
        <w:rPr>
          <w:rFonts w:ascii="Arial" w:eastAsia="Arial Narrow" w:hAnsi="Arial" w:cs="Arial"/>
        </w:rPr>
        <w:t xml:space="preserve">10, </w:t>
      </w:r>
      <w:r w:rsidRPr="004C4F6D">
        <w:rPr>
          <w:rFonts w:ascii="Arial" w:eastAsia="Arial Narrow" w:hAnsi="Arial" w:cs="Arial"/>
        </w:rPr>
        <w:t xml:space="preserve">2023, </w:t>
      </w:r>
      <w:r w:rsidR="00FC4B0E" w:rsidRPr="004C4F6D">
        <w:rPr>
          <w:rFonts w:ascii="Arial" w:eastAsia="Arial Narrow" w:hAnsi="Arial" w:cs="Arial"/>
        </w:rPr>
        <w:t>LSD submitted additional comments highlighting the hurdles encountered, and we quote:</w:t>
      </w:r>
    </w:p>
    <w:p w14:paraId="3525509E"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rPr>
      </w:pPr>
    </w:p>
    <w:p w14:paraId="73929463" w14:textId="77777777" w:rsidR="00FC4B0E" w:rsidRPr="004C4F6D" w:rsidRDefault="00FC4B0E" w:rsidP="004C4F6D">
      <w:pPr>
        <w:numPr>
          <w:ilvl w:val="0"/>
          <w:numId w:val="17"/>
        </w:numPr>
        <w:tabs>
          <w:tab w:val="clear" w:pos="425"/>
          <w:tab w:val="left" w:pos="660"/>
        </w:tabs>
        <w:spacing w:after="0" w:line="240" w:lineRule="auto"/>
        <w:ind w:left="1134" w:hanging="567"/>
        <w:jc w:val="both"/>
        <w:rPr>
          <w:rFonts w:ascii="Arial" w:eastAsia="Arial Narrow" w:hAnsi="Arial" w:cs="Arial"/>
        </w:rPr>
      </w:pPr>
      <w:r w:rsidRPr="004C4F6D">
        <w:rPr>
          <w:rFonts w:ascii="Arial" w:eastAsia="Arial Narrow" w:hAnsi="Arial"/>
        </w:rPr>
        <w:t>UCPB utilized the Consumer Loan Origination System (CLOS) in packaging housing and auto loans. Retention period of files in the CLOS is only five (5) years. Information/files of the loans packaged via the CLOS from 2018 and earlier were already corrupted, hence, can no longer be inventoried. These involves 24,828 housing and 36,692 auto loans.</w:t>
      </w:r>
    </w:p>
    <w:p w14:paraId="595395BF" w14:textId="77777777" w:rsidR="00FC4B0E" w:rsidRPr="004C4F6D" w:rsidRDefault="00FC4B0E" w:rsidP="004C4F6D">
      <w:pPr>
        <w:tabs>
          <w:tab w:val="left" w:pos="660"/>
        </w:tabs>
        <w:spacing w:after="0" w:line="240" w:lineRule="auto"/>
        <w:ind w:left="1134"/>
        <w:jc w:val="both"/>
        <w:rPr>
          <w:rFonts w:ascii="Arial" w:eastAsia="Arial Narrow" w:hAnsi="Arial" w:cs="Arial"/>
        </w:rPr>
      </w:pPr>
    </w:p>
    <w:p w14:paraId="76A49CEC" w14:textId="75F47A13" w:rsidR="00FC4B0E" w:rsidRPr="004C4F6D" w:rsidRDefault="00FC4B0E" w:rsidP="004C4F6D">
      <w:pPr>
        <w:numPr>
          <w:ilvl w:val="0"/>
          <w:numId w:val="17"/>
        </w:numPr>
        <w:tabs>
          <w:tab w:val="clear" w:pos="425"/>
          <w:tab w:val="left" w:pos="567"/>
        </w:tabs>
        <w:spacing w:after="0" w:line="240" w:lineRule="auto"/>
        <w:ind w:left="1134" w:hanging="567"/>
        <w:jc w:val="both"/>
        <w:rPr>
          <w:rFonts w:ascii="Arial" w:eastAsia="Arial Narrow" w:hAnsi="Arial" w:cs="Arial"/>
        </w:rPr>
      </w:pPr>
      <w:r w:rsidRPr="004C4F6D">
        <w:rPr>
          <w:rFonts w:ascii="Arial" w:eastAsia="Arial Narrow" w:hAnsi="Arial" w:cs="Arial"/>
        </w:rPr>
        <w:t xml:space="preserve">CLOS was not adopted </w:t>
      </w:r>
      <w:r w:rsidR="00043317" w:rsidRPr="004C4F6D">
        <w:rPr>
          <w:rFonts w:ascii="Arial" w:eastAsia="Arial Narrow" w:hAnsi="Arial" w:cs="Arial"/>
        </w:rPr>
        <w:t xml:space="preserve">by LBP and </w:t>
      </w:r>
      <w:r w:rsidRPr="004C4F6D">
        <w:rPr>
          <w:rFonts w:ascii="Arial" w:eastAsia="Arial Narrow" w:hAnsi="Arial" w:cs="Arial"/>
        </w:rPr>
        <w:t xml:space="preserve">opted to use </w:t>
      </w:r>
      <w:r w:rsidR="00314B69" w:rsidRPr="004C4F6D">
        <w:rPr>
          <w:rFonts w:ascii="Arial" w:eastAsia="Arial Narrow" w:hAnsi="Arial" w:cs="Arial"/>
        </w:rPr>
        <w:t>its</w:t>
      </w:r>
      <w:r w:rsidRPr="004C4F6D">
        <w:rPr>
          <w:rFonts w:ascii="Arial" w:eastAsia="Arial Narrow" w:hAnsi="Arial" w:cs="Arial"/>
        </w:rPr>
        <w:t xml:space="preserve"> own Loan Origination System (LOS).</w:t>
      </w:r>
    </w:p>
    <w:p w14:paraId="2424F017" w14:textId="77777777" w:rsidR="00FC4B0E" w:rsidRPr="004C4F6D" w:rsidRDefault="00FC4B0E" w:rsidP="004C4F6D">
      <w:pPr>
        <w:tabs>
          <w:tab w:val="left" w:pos="660"/>
        </w:tabs>
        <w:spacing w:after="0" w:line="240" w:lineRule="auto"/>
        <w:ind w:left="1134"/>
        <w:jc w:val="both"/>
        <w:rPr>
          <w:rFonts w:ascii="Arial" w:eastAsia="Arial Narrow" w:hAnsi="Arial" w:cs="Arial"/>
        </w:rPr>
      </w:pPr>
    </w:p>
    <w:p w14:paraId="381B5A7A" w14:textId="3EFC226A" w:rsidR="00FC4B0E" w:rsidRPr="004C4F6D" w:rsidRDefault="00FC4B0E" w:rsidP="004C4F6D">
      <w:pPr>
        <w:spacing w:after="0" w:line="240" w:lineRule="auto"/>
        <w:ind w:left="1134" w:hanging="567"/>
        <w:jc w:val="both"/>
        <w:rPr>
          <w:rFonts w:ascii="Arial" w:eastAsia="Arial Narrow" w:hAnsi="Arial" w:cs="Arial"/>
        </w:rPr>
      </w:pPr>
      <w:r w:rsidRPr="004C4F6D">
        <w:rPr>
          <w:rFonts w:ascii="Arial" w:eastAsia="Arial Narrow" w:hAnsi="Arial" w:cs="Arial"/>
        </w:rPr>
        <w:t>c.</w:t>
      </w:r>
      <w:r w:rsidRPr="004C4F6D">
        <w:rPr>
          <w:rFonts w:ascii="Arial" w:hAnsi="Arial" w:cs="Arial"/>
        </w:rPr>
        <w:t xml:space="preserve">  </w:t>
      </w:r>
      <w:r w:rsidR="00314B69" w:rsidRPr="004C4F6D">
        <w:rPr>
          <w:rFonts w:ascii="Arial" w:hAnsi="Arial" w:cs="Arial"/>
        </w:rPr>
        <w:tab/>
      </w:r>
      <w:r w:rsidRPr="004C4F6D">
        <w:rPr>
          <w:rFonts w:ascii="Arial" w:eastAsia="Arial Narrow" w:hAnsi="Arial" w:cs="Arial"/>
        </w:rPr>
        <w:t xml:space="preserve">While UCPB turned over scanned loan documents, these are not easily accessible </w:t>
      </w:r>
      <w:r w:rsidR="00314B69" w:rsidRPr="004C4F6D">
        <w:rPr>
          <w:rFonts w:ascii="Arial" w:eastAsia="Arial Narrow" w:hAnsi="Arial" w:cs="Arial"/>
        </w:rPr>
        <w:t xml:space="preserve">since </w:t>
      </w:r>
      <w:r w:rsidRPr="004C4F6D">
        <w:rPr>
          <w:rFonts w:ascii="Arial" w:eastAsia="Arial Narrow" w:hAnsi="Arial" w:cs="Arial"/>
        </w:rPr>
        <w:t>these were stored in the Network Access System (NAS). Though arranged alphabetically, finding a single account will take forever considering that the System is very, very slow. To individually search each of the supposed 78,014 accounts in the NAS will take so many man-days, thus, affecting servicing of their regular accounts/day to day functions.</w:t>
      </w:r>
    </w:p>
    <w:p w14:paraId="0C6AD609" w14:textId="77777777" w:rsidR="00FC4B0E" w:rsidRPr="004C4F6D" w:rsidRDefault="00FC4B0E" w:rsidP="004C4F6D">
      <w:pPr>
        <w:spacing w:after="0" w:line="240" w:lineRule="auto"/>
        <w:ind w:left="1134" w:hanging="360"/>
        <w:jc w:val="both"/>
        <w:rPr>
          <w:rFonts w:ascii="Arial" w:eastAsia="Arial Narrow" w:hAnsi="Arial" w:cs="Arial"/>
        </w:rPr>
      </w:pPr>
    </w:p>
    <w:p w14:paraId="79A1D754" w14:textId="14824242" w:rsidR="00FC4B0E" w:rsidRPr="004C4F6D" w:rsidRDefault="00FC4B0E" w:rsidP="004C4F6D">
      <w:pPr>
        <w:spacing w:after="0" w:line="240" w:lineRule="auto"/>
        <w:ind w:left="1134" w:hanging="567"/>
        <w:jc w:val="both"/>
        <w:rPr>
          <w:rFonts w:ascii="Arial" w:eastAsia="Arial Narrow" w:hAnsi="Arial" w:cs="Arial"/>
        </w:rPr>
      </w:pPr>
      <w:r w:rsidRPr="004C4F6D">
        <w:rPr>
          <w:rFonts w:ascii="Arial" w:eastAsia="Arial Narrow" w:hAnsi="Arial" w:cs="Arial"/>
        </w:rPr>
        <w:lastRenderedPageBreak/>
        <w:t>d.</w:t>
      </w:r>
      <w:r w:rsidRPr="004C4F6D">
        <w:rPr>
          <w:rFonts w:ascii="Arial" w:hAnsi="Arial" w:cs="Arial"/>
        </w:rPr>
        <w:t xml:space="preserve">  </w:t>
      </w:r>
      <w:r w:rsidR="00314B69" w:rsidRPr="004C4F6D">
        <w:rPr>
          <w:rFonts w:ascii="Arial" w:hAnsi="Arial" w:cs="Arial"/>
        </w:rPr>
        <w:tab/>
      </w:r>
      <w:r w:rsidRPr="004C4F6D">
        <w:rPr>
          <w:rFonts w:ascii="Arial" w:eastAsia="Arial Narrow" w:hAnsi="Arial" w:cs="Arial"/>
        </w:rPr>
        <w:t>It would have been helpful if these were stored/arranged based on the Lending/Booking Unit. That way, the scanned documents can easily be downloaded to the respective Lending Units.</w:t>
      </w:r>
    </w:p>
    <w:p w14:paraId="50CEBD55" w14:textId="77777777" w:rsidR="00FC4B0E" w:rsidRPr="004C4F6D" w:rsidRDefault="00FC4B0E" w:rsidP="004C4F6D">
      <w:pPr>
        <w:spacing w:after="0" w:line="240" w:lineRule="auto"/>
        <w:ind w:left="1134" w:hanging="360"/>
        <w:jc w:val="both"/>
        <w:rPr>
          <w:rFonts w:ascii="Arial" w:eastAsia="Arial Narrow" w:hAnsi="Arial" w:cs="Arial"/>
        </w:rPr>
      </w:pPr>
    </w:p>
    <w:p w14:paraId="26423D79" w14:textId="2C5E7EB5" w:rsidR="00FC4B0E" w:rsidRPr="004C4F6D" w:rsidRDefault="00FC4B0E" w:rsidP="004C4F6D">
      <w:pPr>
        <w:tabs>
          <w:tab w:val="left" w:pos="1080"/>
        </w:tabs>
        <w:spacing w:after="0" w:line="240" w:lineRule="auto"/>
        <w:ind w:left="1080" w:hanging="450"/>
        <w:jc w:val="both"/>
        <w:rPr>
          <w:rFonts w:ascii="Arial" w:eastAsia="Arial Narrow" w:hAnsi="Arial" w:cs="Arial"/>
        </w:rPr>
      </w:pPr>
      <w:r w:rsidRPr="004C4F6D">
        <w:rPr>
          <w:rFonts w:ascii="Arial" w:eastAsia="Arial Narrow" w:hAnsi="Arial" w:cs="Arial"/>
        </w:rPr>
        <w:t>e.</w:t>
      </w:r>
      <w:r w:rsidRPr="004C4F6D">
        <w:rPr>
          <w:rFonts w:ascii="Arial" w:hAnsi="Arial" w:cs="Arial"/>
        </w:rPr>
        <w:t xml:space="preserve">  </w:t>
      </w:r>
      <w:r w:rsidR="004151E6" w:rsidRPr="004C4F6D">
        <w:rPr>
          <w:rFonts w:ascii="Arial" w:hAnsi="Arial" w:cs="Arial"/>
        </w:rPr>
        <w:tab/>
      </w:r>
      <w:r w:rsidRPr="004C4F6D">
        <w:rPr>
          <w:rFonts w:ascii="Arial" w:eastAsia="Arial Narrow" w:hAnsi="Arial" w:cs="Arial"/>
        </w:rPr>
        <w:t>CLMU do not keep copies of loan documents. These are just extracted from the UCPB’s systems, (i.e., BDS, CLOS, LNU) when necessary.</w:t>
      </w:r>
    </w:p>
    <w:p w14:paraId="563D0B65" w14:textId="77777777" w:rsidR="00FC4B0E" w:rsidRPr="004C4F6D" w:rsidRDefault="00FC4B0E" w:rsidP="004C4F6D">
      <w:pPr>
        <w:spacing w:after="0" w:line="240" w:lineRule="auto"/>
        <w:ind w:left="1460" w:hanging="360"/>
        <w:jc w:val="both"/>
        <w:rPr>
          <w:rFonts w:ascii="Arial" w:eastAsia="Arial Narrow" w:hAnsi="Arial" w:cs="Arial"/>
        </w:rPr>
      </w:pPr>
    </w:p>
    <w:p w14:paraId="3E9E6631" w14:textId="7CD61623"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eastAsia="Arial Narrow" w:hAnsi="Arial" w:cs="Arial"/>
        </w:rPr>
      </w:pPr>
      <w:r w:rsidRPr="004C4F6D">
        <w:rPr>
          <w:rFonts w:ascii="Arial" w:hAnsi="Arial" w:cs="Arial"/>
        </w:rPr>
        <w:t xml:space="preserve">On a test basis, </w:t>
      </w:r>
      <w:r w:rsidR="00314B69" w:rsidRPr="004C4F6D">
        <w:rPr>
          <w:rFonts w:ascii="Arial" w:hAnsi="Arial" w:cs="Arial"/>
        </w:rPr>
        <w:t>the</w:t>
      </w:r>
      <w:r w:rsidRPr="004C4F6D">
        <w:rPr>
          <w:rFonts w:ascii="Arial" w:hAnsi="Arial" w:cs="Arial"/>
        </w:rPr>
        <w:t xml:space="preserve"> loan documents </w:t>
      </w:r>
      <w:r w:rsidR="00EE4FBF" w:rsidRPr="004C4F6D">
        <w:rPr>
          <w:rFonts w:ascii="Arial" w:hAnsi="Arial" w:cs="Arial"/>
        </w:rPr>
        <w:t xml:space="preserve">were verified </w:t>
      </w:r>
      <w:r w:rsidRPr="004C4F6D">
        <w:rPr>
          <w:rFonts w:ascii="Arial" w:hAnsi="Arial" w:cs="Arial"/>
        </w:rPr>
        <w:t xml:space="preserve">through the CLOS and the NAS, and found that </w:t>
      </w:r>
      <w:r w:rsidRPr="004C4F6D">
        <w:rPr>
          <w:rFonts w:ascii="Arial" w:eastAsia="Arial Narrow" w:hAnsi="Arial" w:cs="Arial"/>
        </w:rPr>
        <w:t xml:space="preserve">UCPB loan documents, in the system, and in physical loan folders, were not organized to ascertain completeness and facilitate ease of verification. </w:t>
      </w:r>
      <w:r w:rsidR="00EE4FBF" w:rsidRPr="004C4F6D">
        <w:rPr>
          <w:rFonts w:ascii="Arial" w:eastAsia="Arial Narrow" w:hAnsi="Arial" w:cs="Arial"/>
        </w:rPr>
        <w:t>Thus,</w:t>
      </w:r>
      <w:r w:rsidRPr="004C4F6D">
        <w:rPr>
          <w:rFonts w:ascii="Arial" w:eastAsia="Arial Narrow" w:hAnsi="Arial" w:cs="Arial"/>
        </w:rPr>
        <w:t xml:space="preserve"> the completeness, or at least sufficiency of the supporting documents</w:t>
      </w:r>
      <w:r w:rsidR="00EE4FBF" w:rsidRPr="004C4F6D">
        <w:rPr>
          <w:rFonts w:ascii="Arial" w:eastAsia="Arial Narrow" w:hAnsi="Arial" w:cs="Arial"/>
        </w:rPr>
        <w:t xml:space="preserve"> cannot be relied upon</w:t>
      </w:r>
      <w:r w:rsidRPr="004C4F6D">
        <w:rPr>
          <w:rFonts w:ascii="Arial" w:eastAsia="Arial Narrow" w:hAnsi="Arial" w:cs="Arial"/>
        </w:rPr>
        <w:t>.</w:t>
      </w:r>
    </w:p>
    <w:p w14:paraId="1C327948" w14:textId="77777777" w:rsidR="00FC4B0E" w:rsidRPr="004C4F6D" w:rsidRDefault="00FC4B0E" w:rsidP="004C4F6D">
      <w:pPr>
        <w:pStyle w:val="ListParagraph"/>
        <w:autoSpaceDE w:val="0"/>
        <w:autoSpaceDN w:val="0"/>
        <w:adjustRightInd w:val="0"/>
        <w:spacing w:after="0" w:line="240" w:lineRule="auto"/>
        <w:ind w:left="0"/>
        <w:jc w:val="both"/>
        <w:rPr>
          <w:rFonts w:ascii="Arial" w:eastAsia="Arial Narrow" w:hAnsi="Arial" w:cs="Arial"/>
        </w:rPr>
      </w:pPr>
    </w:p>
    <w:p w14:paraId="3AF0A914" w14:textId="49FB1BAE" w:rsidR="00FC4B0E" w:rsidRPr="004C4F6D" w:rsidRDefault="00B308CE"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bCs/>
          <w:iCs/>
        </w:rPr>
        <w:t xml:space="preserve">Using the same 82 sample </w:t>
      </w:r>
      <w:r w:rsidR="004174CB" w:rsidRPr="004C4F6D">
        <w:rPr>
          <w:rFonts w:ascii="Arial" w:eastAsia="Arial Narrow" w:hAnsi="Arial" w:cs="Arial"/>
          <w:bCs/>
          <w:iCs/>
        </w:rPr>
        <w:t xml:space="preserve">borrowers, the </w:t>
      </w:r>
      <w:r w:rsidR="00FC4B0E" w:rsidRPr="004C4F6D">
        <w:rPr>
          <w:rFonts w:ascii="Arial" w:eastAsia="Arial Narrow" w:hAnsi="Arial" w:cs="Arial"/>
          <w:bCs/>
          <w:iCs/>
        </w:rPr>
        <w:t>existence and completeness of SL items</w:t>
      </w:r>
      <w:r w:rsidR="004174CB" w:rsidRPr="004C4F6D">
        <w:rPr>
          <w:rFonts w:ascii="Arial" w:eastAsia="Arial Narrow" w:hAnsi="Arial" w:cs="Arial"/>
          <w:bCs/>
          <w:iCs/>
        </w:rPr>
        <w:t xml:space="preserve"> were validated.</w:t>
      </w:r>
      <w:r w:rsidR="00FC4B0E" w:rsidRPr="004C4F6D">
        <w:rPr>
          <w:rFonts w:ascii="Arial" w:eastAsia="Arial Narrow" w:hAnsi="Arial" w:cs="Arial"/>
          <w:bCs/>
          <w:iCs/>
        </w:rPr>
        <w:t xml:space="preserve"> Management informed that, to establish existence, they rely on the information in the SIBS-SL, and the collections of the borrowers based on the history payments of the borrowers in SIBS-SL. </w:t>
      </w:r>
      <w:r w:rsidR="004174CB" w:rsidRPr="004C4F6D">
        <w:rPr>
          <w:rFonts w:ascii="Arial" w:eastAsia="Arial Narrow" w:hAnsi="Arial" w:cs="Arial"/>
          <w:bCs/>
          <w:iCs/>
        </w:rPr>
        <w:t xml:space="preserve">It was </w:t>
      </w:r>
      <w:r w:rsidR="00FC4B0E" w:rsidRPr="004C4F6D">
        <w:rPr>
          <w:rFonts w:ascii="Arial" w:eastAsia="Arial Narrow" w:hAnsi="Arial" w:cs="Arial"/>
          <w:bCs/>
          <w:iCs/>
        </w:rPr>
        <w:t>requested that SL items be traced to Promissory Notes (PNs) using PN number</w:t>
      </w:r>
      <w:r w:rsidR="004174CB" w:rsidRPr="004C4F6D">
        <w:rPr>
          <w:rFonts w:ascii="Arial" w:eastAsia="Arial Narrow" w:hAnsi="Arial" w:cs="Arial"/>
        </w:rPr>
        <w:t xml:space="preserve"> which </w:t>
      </w:r>
      <w:r w:rsidR="00FC4B0E" w:rsidRPr="004C4F6D">
        <w:rPr>
          <w:rFonts w:ascii="Arial" w:eastAsia="Arial Narrow" w:hAnsi="Arial" w:cs="Arial"/>
        </w:rPr>
        <w:t>serves as the sole link between the SIBS-SL and the loan documents. Out of 82</w:t>
      </w:r>
      <w:r w:rsidR="004174CB" w:rsidRPr="004C4F6D">
        <w:rPr>
          <w:rFonts w:ascii="Arial" w:eastAsia="Arial Narrow" w:hAnsi="Arial" w:cs="Arial"/>
        </w:rPr>
        <w:t xml:space="preserve"> borrowers</w:t>
      </w:r>
      <w:r w:rsidR="00FC4B0E" w:rsidRPr="004C4F6D">
        <w:rPr>
          <w:rFonts w:ascii="Arial" w:eastAsia="Arial Narrow" w:hAnsi="Arial" w:cs="Arial"/>
        </w:rPr>
        <w:t xml:space="preserve">, </w:t>
      </w:r>
      <w:r w:rsidR="004174CB" w:rsidRPr="004C4F6D">
        <w:rPr>
          <w:rFonts w:ascii="Arial" w:eastAsia="Arial Narrow" w:hAnsi="Arial" w:cs="Arial"/>
        </w:rPr>
        <w:t xml:space="preserve">only </w:t>
      </w:r>
      <w:r w:rsidR="00FC4B0E" w:rsidRPr="004C4F6D">
        <w:rPr>
          <w:rFonts w:ascii="Arial" w:eastAsia="Arial Narrow" w:hAnsi="Arial" w:cs="Arial"/>
        </w:rPr>
        <w:t xml:space="preserve">seven (7) were not provided with PNs or PNs </w:t>
      </w:r>
      <w:r w:rsidR="004174CB" w:rsidRPr="004C4F6D">
        <w:rPr>
          <w:rFonts w:ascii="Arial" w:eastAsia="Arial Narrow" w:hAnsi="Arial" w:cs="Arial"/>
        </w:rPr>
        <w:t>can</w:t>
      </w:r>
      <w:r w:rsidR="00FC4B0E" w:rsidRPr="004C4F6D">
        <w:rPr>
          <w:rFonts w:ascii="Arial" w:eastAsia="Arial Narrow" w:hAnsi="Arial" w:cs="Arial"/>
        </w:rPr>
        <w:t xml:space="preserve">not </w:t>
      </w:r>
      <w:r w:rsidR="00043317" w:rsidRPr="004C4F6D">
        <w:rPr>
          <w:rFonts w:ascii="Arial" w:eastAsia="Arial Narrow" w:hAnsi="Arial" w:cs="Arial"/>
        </w:rPr>
        <w:t xml:space="preserve">be </w:t>
      </w:r>
      <w:r w:rsidR="00FC4B0E" w:rsidRPr="004C4F6D">
        <w:rPr>
          <w:rFonts w:ascii="Arial" w:eastAsia="Arial Narrow" w:hAnsi="Arial" w:cs="Arial"/>
        </w:rPr>
        <w:t>located.</w:t>
      </w:r>
    </w:p>
    <w:p w14:paraId="6DCAF4F7"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rPr>
      </w:pPr>
    </w:p>
    <w:p w14:paraId="7EEB039F" w14:textId="6088CD16" w:rsidR="00FC4B0E" w:rsidRPr="004C4F6D" w:rsidRDefault="00E0540C"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 xml:space="preserve">In the </w:t>
      </w:r>
      <w:r w:rsidR="00FC4B0E" w:rsidRPr="004C4F6D">
        <w:rPr>
          <w:rFonts w:ascii="Arial" w:eastAsia="Arial Narrow" w:hAnsi="Arial" w:cs="Arial"/>
        </w:rPr>
        <w:t>March 30, 2023</w:t>
      </w:r>
      <w:r w:rsidRPr="004C4F6D">
        <w:rPr>
          <w:rFonts w:ascii="Arial" w:eastAsia="Arial Narrow" w:hAnsi="Arial" w:cs="Arial"/>
        </w:rPr>
        <w:t xml:space="preserve"> meeting</w:t>
      </w:r>
      <w:r w:rsidR="00FC4B0E" w:rsidRPr="004C4F6D">
        <w:rPr>
          <w:rFonts w:ascii="Arial" w:eastAsia="Arial Narrow" w:hAnsi="Arial" w:cs="Arial"/>
        </w:rPr>
        <w:t xml:space="preserve">, </w:t>
      </w:r>
      <w:r w:rsidRPr="004C4F6D">
        <w:rPr>
          <w:rFonts w:ascii="Arial" w:eastAsia="Arial Narrow" w:hAnsi="Arial" w:cs="Arial"/>
        </w:rPr>
        <w:t xml:space="preserve">it was </w:t>
      </w:r>
      <w:r w:rsidR="00FC4B0E" w:rsidRPr="004C4F6D">
        <w:rPr>
          <w:rFonts w:ascii="Arial" w:eastAsia="Arial Narrow" w:hAnsi="Arial" w:cs="Arial"/>
        </w:rPr>
        <w:t xml:space="preserve">also gathered that, in compliance with LBP EO </w:t>
      </w:r>
      <w:r w:rsidR="00680778" w:rsidRPr="004C4F6D">
        <w:rPr>
          <w:rFonts w:ascii="Arial" w:eastAsia="Arial Narrow" w:hAnsi="Arial" w:cs="Arial"/>
        </w:rPr>
        <w:t xml:space="preserve">No. </w:t>
      </w:r>
      <w:r w:rsidR="00FC4B0E" w:rsidRPr="004C4F6D">
        <w:rPr>
          <w:rFonts w:ascii="Arial" w:eastAsia="Arial Narrow" w:hAnsi="Arial" w:cs="Arial"/>
        </w:rPr>
        <w:t>109, LSD determined the workforce requirement per Lending Unit (LU); however, many of the transferred UCPB employees resigned due to various issues such as civil service eligibility, salary, and workload at LBP. Moreover, request for additional staff to fill the gap was made but was not granted due to reasons that have not been disclosed to the audit team.</w:t>
      </w:r>
    </w:p>
    <w:p w14:paraId="18F6D41D"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rPr>
      </w:pPr>
    </w:p>
    <w:p w14:paraId="50341ED9" w14:textId="17189736"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 xml:space="preserve">On July 5, 2023, LOMD </w:t>
      </w:r>
      <w:r w:rsidR="00680778" w:rsidRPr="004C4F6D">
        <w:rPr>
          <w:rFonts w:ascii="Arial" w:eastAsia="Arial Narrow" w:hAnsi="Arial" w:cs="Arial"/>
        </w:rPr>
        <w:t xml:space="preserve">informed that </w:t>
      </w:r>
      <w:r w:rsidRPr="004C4F6D">
        <w:rPr>
          <w:rFonts w:ascii="Arial" w:eastAsia="Arial Narrow" w:hAnsi="Arial" w:cs="Arial"/>
        </w:rPr>
        <w:t>the concern for manpower requirement has been referred to Personnel Administration Department (PAD) for appropriate action. Although initially, there were 116 personnel hired as Directly Hired Contractual (DHCs) from former UCPB for the transition process, these were not sufficient to handle the volume of loan accounts transferred to L</w:t>
      </w:r>
      <w:r w:rsidR="00680778" w:rsidRPr="004C4F6D">
        <w:rPr>
          <w:rFonts w:ascii="Arial" w:eastAsia="Arial Narrow" w:hAnsi="Arial" w:cs="Arial"/>
        </w:rPr>
        <w:t>BP</w:t>
      </w:r>
      <w:r w:rsidRPr="004C4F6D">
        <w:rPr>
          <w:rFonts w:ascii="Arial" w:eastAsia="Arial Narrow" w:hAnsi="Arial" w:cs="Arial"/>
        </w:rPr>
        <w:t xml:space="preserve"> after the merger, considering the day-to-day process and concerns of then UCPB clients. As of 30 June 2023, the number of DHCs assigned at LOMD were reduced to 106 due to resignations and transfers to other Bank Units.</w:t>
      </w:r>
      <w:r w:rsidR="004C039E" w:rsidRPr="004C4F6D">
        <w:rPr>
          <w:rFonts w:ascii="Arial" w:eastAsia="Arial Narrow" w:hAnsi="Arial" w:cs="Arial"/>
        </w:rPr>
        <w:t xml:space="preserve"> As of July 6, 2023, 62 have already resigned. Though continuous hiring of their replacement is in process, the same will take some time as they will still subject to the usual hiring procedures of PAD</w:t>
      </w:r>
      <w:r w:rsidR="00FA4812" w:rsidRPr="004C4F6D">
        <w:rPr>
          <w:rFonts w:ascii="Arial" w:eastAsia="Arial Narrow" w:hAnsi="Arial" w:cs="Arial"/>
        </w:rPr>
        <w:t>.</w:t>
      </w:r>
    </w:p>
    <w:p w14:paraId="6070E338" w14:textId="77777777" w:rsidR="004C039E" w:rsidRPr="004C4F6D" w:rsidRDefault="004C039E" w:rsidP="004C4F6D">
      <w:pPr>
        <w:spacing w:after="0" w:line="240" w:lineRule="auto"/>
        <w:rPr>
          <w:rFonts w:ascii="Arial" w:hAnsi="Arial" w:cs="Arial"/>
        </w:rPr>
      </w:pPr>
    </w:p>
    <w:p w14:paraId="0A3A3C96" w14:textId="16E01884" w:rsidR="00FC4B0E" w:rsidRPr="004C4F6D" w:rsidRDefault="00222EC2"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I</w:t>
      </w:r>
      <w:r w:rsidR="00FC4B0E" w:rsidRPr="004C4F6D">
        <w:rPr>
          <w:rFonts w:ascii="Arial" w:eastAsia="Arial Narrow" w:hAnsi="Arial" w:cs="Arial"/>
        </w:rPr>
        <w:t>nquir</w:t>
      </w:r>
      <w:r w:rsidRPr="004C4F6D">
        <w:rPr>
          <w:rFonts w:ascii="Arial" w:eastAsia="Arial Narrow" w:hAnsi="Arial" w:cs="Arial"/>
        </w:rPr>
        <w:t>y</w:t>
      </w:r>
      <w:r w:rsidR="00FC4B0E" w:rsidRPr="004C4F6D">
        <w:rPr>
          <w:rFonts w:ascii="Arial" w:eastAsia="Arial Narrow" w:hAnsi="Arial" w:cs="Arial"/>
        </w:rPr>
        <w:t xml:space="preserve"> about the subsequent and/or alternative actions taken by the Bank to ensure that loans transferred from the UCPB and recorded in the books of Landbank are existing and complete as of reporting date December 31, 2022</w:t>
      </w:r>
      <w:r w:rsidRPr="004C4F6D">
        <w:rPr>
          <w:rFonts w:ascii="Arial" w:eastAsia="Arial Narrow" w:hAnsi="Arial" w:cs="Arial"/>
          <w:color w:val="0E101A"/>
        </w:rPr>
        <w:t xml:space="preserve">, </w:t>
      </w:r>
      <w:r w:rsidR="00FC4B0E" w:rsidRPr="004C4F6D">
        <w:rPr>
          <w:rFonts w:ascii="Arial" w:eastAsia="Arial Narrow" w:hAnsi="Arial" w:cs="Arial"/>
          <w:color w:val="0E101A"/>
        </w:rPr>
        <w:t>disclosed the following:</w:t>
      </w:r>
    </w:p>
    <w:p w14:paraId="7732EBE1" w14:textId="77777777" w:rsidR="00FC4B0E" w:rsidRPr="004C4F6D" w:rsidRDefault="00FC4B0E" w:rsidP="004C4F6D">
      <w:pPr>
        <w:pStyle w:val="ListParagraph"/>
        <w:autoSpaceDE w:val="0"/>
        <w:autoSpaceDN w:val="0"/>
        <w:adjustRightInd w:val="0"/>
        <w:spacing w:after="0" w:line="240" w:lineRule="auto"/>
        <w:ind w:left="0"/>
        <w:jc w:val="both"/>
        <w:rPr>
          <w:rFonts w:ascii="Arial" w:hAnsi="Arial" w:cs="Arial"/>
        </w:rPr>
      </w:pPr>
    </w:p>
    <w:p w14:paraId="77900913" w14:textId="2F6FAEBF" w:rsidR="00FC4B0E" w:rsidRPr="004C4F6D" w:rsidRDefault="00FC4B0E" w:rsidP="004C4F6D">
      <w:pPr>
        <w:numPr>
          <w:ilvl w:val="0"/>
          <w:numId w:val="18"/>
        </w:numPr>
        <w:spacing w:after="0" w:line="240" w:lineRule="auto"/>
        <w:ind w:left="1134" w:hanging="567"/>
        <w:jc w:val="both"/>
        <w:rPr>
          <w:rFonts w:ascii="Arial" w:eastAsia="Arial Narrow" w:hAnsi="Arial" w:cs="Arial"/>
        </w:rPr>
      </w:pPr>
      <w:r w:rsidRPr="004C4F6D">
        <w:rPr>
          <w:rFonts w:ascii="Arial" w:hAnsi="Arial" w:cs="Arial"/>
        </w:rPr>
        <w:t xml:space="preserve">  </w:t>
      </w:r>
      <w:r w:rsidR="001E0C8D" w:rsidRPr="004C4F6D">
        <w:rPr>
          <w:rFonts w:ascii="Arial" w:hAnsi="Arial" w:cs="Arial"/>
        </w:rPr>
        <w:tab/>
      </w:r>
      <w:r w:rsidRPr="004C4F6D">
        <w:rPr>
          <w:rFonts w:ascii="Arial" w:eastAsia="Arial Narrow" w:hAnsi="Arial" w:cs="Arial"/>
        </w:rPr>
        <w:t xml:space="preserve">Coordination with handling Account Officers/Lending Units concerned for the transferred accounts is </w:t>
      </w:r>
      <w:r w:rsidRPr="004C4F6D">
        <w:rPr>
          <w:rFonts w:ascii="Arial" w:eastAsia="Arial Narrow" w:hAnsi="Arial" w:cs="Arial"/>
          <w:i/>
        </w:rPr>
        <w:t>still ongoing</w:t>
      </w:r>
      <w:r w:rsidRPr="004C4F6D">
        <w:rPr>
          <w:rFonts w:ascii="Arial" w:eastAsia="Arial Narrow" w:hAnsi="Arial" w:cs="Arial"/>
        </w:rPr>
        <w:t xml:space="preserve"> to ensure the complete turnover of loan documents.</w:t>
      </w:r>
    </w:p>
    <w:p w14:paraId="6BB92525" w14:textId="77777777" w:rsidR="00FC4B0E" w:rsidRPr="004C4F6D" w:rsidRDefault="00FC4B0E" w:rsidP="004C4F6D">
      <w:pPr>
        <w:spacing w:after="0" w:line="240" w:lineRule="auto"/>
        <w:ind w:left="1134"/>
        <w:jc w:val="both"/>
        <w:rPr>
          <w:rFonts w:ascii="Arial" w:eastAsia="Arial Narrow" w:hAnsi="Arial" w:cs="Arial"/>
        </w:rPr>
      </w:pPr>
    </w:p>
    <w:p w14:paraId="38D2F766" w14:textId="04C1E429" w:rsidR="00FC4B0E" w:rsidRPr="004C4F6D" w:rsidRDefault="00FC4B0E" w:rsidP="004C4F6D">
      <w:pPr>
        <w:numPr>
          <w:ilvl w:val="0"/>
          <w:numId w:val="18"/>
        </w:numPr>
        <w:spacing w:after="0" w:line="240" w:lineRule="auto"/>
        <w:ind w:left="1134" w:hanging="567"/>
        <w:jc w:val="both"/>
        <w:rPr>
          <w:rFonts w:ascii="Arial" w:eastAsia="Arial Narrow" w:hAnsi="Arial" w:cs="Arial"/>
        </w:rPr>
      </w:pPr>
      <w:r w:rsidRPr="004C4F6D">
        <w:rPr>
          <w:rFonts w:ascii="Arial" w:hAnsi="Arial" w:cs="Arial"/>
        </w:rPr>
        <w:t xml:space="preserve">  </w:t>
      </w:r>
      <w:r w:rsidR="001E0C8D" w:rsidRPr="004C4F6D">
        <w:rPr>
          <w:rFonts w:ascii="Arial" w:hAnsi="Arial" w:cs="Arial"/>
        </w:rPr>
        <w:tab/>
      </w:r>
      <w:r w:rsidRPr="004C4F6D">
        <w:rPr>
          <w:rFonts w:ascii="Arial" w:eastAsia="Arial Narrow" w:hAnsi="Arial" w:cs="Arial"/>
        </w:rPr>
        <w:t xml:space="preserve">The physical inventory of collaterals/security is </w:t>
      </w:r>
      <w:r w:rsidRPr="004C4F6D">
        <w:rPr>
          <w:rFonts w:ascii="Arial" w:eastAsia="Arial Narrow" w:hAnsi="Arial" w:cs="Arial"/>
          <w:iCs/>
        </w:rPr>
        <w:t>currently being conducted</w:t>
      </w:r>
      <w:r w:rsidRPr="004C4F6D">
        <w:rPr>
          <w:rFonts w:ascii="Arial" w:eastAsia="Arial Narrow" w:hAnsi="Arial" w:cs="Arial"/>
        </w:rPr>
        <w:t xml:space="preserve">. The inventory is being carried out by former UCPB personnel who were hired under the Merger Business Continuity Team (MBCT) of LBP. As of May 15, 2023, of the 40,436 collaterals for inventory, 19,162 or 47.39% were validated and 21,274 or 52.61% remaining were yet to be validated for inventory. </w:t>
      </w:r>
    </w:p>
    <w:p w14:paraId="1069E0BF" w14:textId="77777777" w:rsidR="00FC4B0E" w:rsidRPr="004C4F6D" w:rsidRDefault="00FC4B0E" w:rsidP="004C4F6D">
      <w:pPr>
        <w:spacing w:after="0" w:line="240" w:lineRule="auto"/>
        <w:ind w:left="1134"/>
        <w:jc w:val="both"/>
        <w:rPr>
          <w:rFonts w:ascii="Arial" w:eastAsia="Arial Narrow" w:hAnsi="Arial" w:cs="Arial"/>
        </w:rPr>
      </w:pPr>
    </w:p>
    <w:p w14:paraId="48DFA6F3" w14:textId="1E5BE6A7" w:rsidR="00FC4B0E" w:rsidRPr="004C4F6D" w:rsidRDefault="00FC4B0E" w:rsidP="004C4F6D">
      <w:pPr>
        <w:numPr>
          <w:ilvl w:val="0"/>
          <w:numId w:val="18"/>
        </w:numPr>
        <w:spacing w:after="0" w:line="240" w:lineRule="auto"/>
        <w:ind w:left="1134" w:hanging="567"/>
        <w:jc w:val="both"/>
        <w:rPr>
          <w:rFonts w:ascii="Arial" w:eastAsia="Arial Narrow" w:hAnsi="Arial" w:cs="Arial"/>
        </w:rPr>
      </w:pPr>
      <w:r w:rsidRPr="004C4F6D">
        <w:rPr>
          <w:rFonts w:ascii="Arial" w:hAnsi="Arial" w:cs="Arial"/>
        </w:rPr>
        <w:t xml:space="preserve"> </w:t>
      </w:r>
      <w:r w:rsidR="001E0C8D" w:rsidRPr="004C4F6D">
        <w:rPr>
          <w:rFonts w:ascii="Arial" w:hAnsi="Arial" w:cs="Arial"/>
        </w:rPr>
        <w:tab/>
      </w:r>
      <w:r w:rsidRPr="004C4F6D">
        <w:rPr>
          <w:rFonts w:ascii="Arial" w:eastAsia="Arial Narrow" w:hAnsi="Arial" w:cs="Arial"/>
        </w:rPr>
        <w:t>Coordination of LOMD- Head Office &amp; Loan Operations Field Units (LOFU) with the Lending Support Department (LSD) and Lending Units (LUs) for the reconciliation of transferred accounts to LUs of Head Office and Provinces and Asset Recovery Group Units- LRD and SPAD is still ongoing.</w:t>
      </w:r>
    </w:p>
    <w:p w14:paraId="47148E85" w14:textId="77777777" w:rsidR="00FC4B0E" w:rsidRPr="004C4F6D" w:rsidRDefault="00FC4B0E" w:rsidP="004C4F6D">
      <w:pPr>
        <w:spacing w:after="0" w:line="240" w:lineRule="auto"/>
        <w:ind w:left="1134"/>
        <w:jc w:val="both"/>
        <w:rPr>
          <w:rFonts w:ascii="Arial" w:eastAsia="Arial Narrow" w:hAnsi="Arial" w:cs="Arial"/>
        </w:rPr>
      </w:pPr>
    </w:p>
    <w:p w14:paraId="7AAC60C6" w14:textId="2E1943D7" w:rsidR="00FC4B0E" w:rsidRPr="004C4F6D" w:rsidRDefault="00FC4B0E" w:rsidP="004C4F6D">
      <w:pPr>
        <w:spacing w:after="0" w:line="240" w:lineRule="auto"/>
        <w:ind w:left="1134" w:hanging="567"/>
        <w:jc w:val="both"/>
        <w:rPr>
          <w:rFonts w:ascii="Arial" w:eastAsia="Arial Narrow" w:hAnsi="Arial" w:cs="Arial"/>
          <w:color w:val="222222"/>
        </w:rPr>
      </w:pPr>
      <w:r w:rsidRPr="004C4F6D">
        <w:rPr>
          <w:rFonts w:ascii="Arial" w:eastAsia="Arial Narrow" w:hAnsi="Arial" w:cs="Arial"/>
        </w:rPr>
        <w:t>d.</w:t>
      </w:r>
      <w:r w:rsidRPr="004C4F6D">
        <w:rPr>
          <w:rFonts w:ascii="Arial" w:hAnsi="Arial" w:cs="Arial"/>
        </w:rPr>
        <w:t xml:space="preserve"> </w:t>
      </w:r>
      <w:r w:rsidR="001E0C8D" w:rsidRPr="004C4F6D">
        <w:rPr>
          <w:rFonts w:ascii="Arial" w:hAnsi="Arial" w:cs="Arial"/>
        </w:rPr>
        <w:tab/>
      </w:r>
      <w:r w:rsidRPr="004C4F6D">
        <w:rPr>
          <w:rFonts w:ascii="Arial" w:eastAsia="Arial Narrow" w:hAnsi="Arial" w:cs="Arial"/>
        </w:rPr>
        <w:t>Considering the magnitude of UCPB loan accounts transferred to L</w:t>
      </w:r>
      <w:r w:rsidR="001E0C8D" w:rsidRPr="004C4F6D">
        <w:rPr>
          <w:rFonts w:ascii="Arial" w:eastAsia="Arial Narrow" w:hAnsi="Arial" w:cs="Arial"/>
        </w:rPr>
        <w:t>BP</w:t>
      </w:r>
      <w:r w:rsidRPr="004C4F6D">
        <w:rPr>
          <w:rFonts w:ascii="Arial" w:eastAsia="Arial Narrow" w:hAnsi="Arial" w:cs="Arial"/>
        </w:rPr>
        <w:t xml:space="preserve"> LOMD, increasing the workload by more than 77,000 accounts with Loan Portfolio of P140 billion and only 116 UCPB employees hired, LOMD may not be able to comply within the set timeline for the complete physical inventory and reconciliation of accounts due to the limited manpower of the Department. As of May 31, 2023, the number of employed UCPB employees was reduced to 106.</w:t>
      </w:r>
    </w:p>
    <w:p w14:paraId="420991AD" w14:textId="77777777" w:rsidR="00FC4B0E" w:rsidRPr="004C4F6D" w:rsidRDefault="00FC4B0E" w:rsidP="004C4F6D">
      <w:pPr>
        <w:spacing w:after="0" w:line="240" w:lineRule="auto"/>
        <w:ind w:left="1460" w:hanging="360"/>
        <w:jc w:val="both"/>
        <w:rPr>
          <w:rFonts w:ascii="Arial" w:eastAsia="Arial Narrow" w:hAnsi="Arial" w:cs="Arial"/>
          <w:color w:val="222222"/>
        </w:rPr>
      </w:pPr>
    </w:p>
    <w:p w14:paraId="04267C88" w14:textId="7ADCC43C" w:rsidR="00FC4B0E" w:rsidRPr="004C4F6D" w:rsidRDefault="00FC4B0E"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E101A"/>
        </w:rPr>
        <w:t>Based on the</w:t>
      </w:r>
      <w:r w:rsidR="00E845E7" w:rsidRPr="004C4F6D">
        <w:rPr>
          <w:rFonts w:ascii="Arial" w:eastAsia="Arial Narrow" w:hAnsi="Arial" w:cs="Arial"/>
          <w:color w:val="0E101A"/>
        </w:rPr>
        <w:t xml:space="preserve"> abovementioned information</w:t>
      </w:r>
      <w:r w:rsidRPr="004C4F6D">
        <w:rPr>
          <w:rFonts w:ascii="Arial" w:eastAsia="Arial Narrow" w:hAnsi="Arial" w:cs="Arial"/>
          <w:color w:val="0E101A"/>
        </w:rPr>
        <w:t>, it was established that Management was n</w:t>
      </w:r>
      <w:r w:rsidRPr="004C4F6D">
        <w:rPr>
          <w:rFonts w:ascii="Arial" w:eastAsia="Arial Narrow" w:hAnsi="Arial" w:cs="Arial"/>
          <w:color w:val="0E101A"/>
          <w:lang w:val="en-US"/>
        </w:rPr>
        <w:t>o</w:t>
      </w:r>
      <w:r w:rsidRPr="004C4F6D">
        <w:rPr>
          <w:rFonts w:ascii="Arial" w:eastAsia="Arial Narrow" w:hAnsi="Arial" w:cs="Arial"/>
          <w:color w:val="0E101A"/>
        </w:rPr>
        <w:t xml:space="preserve">t able to complete the inventory and validations of turned over loan documents and accountabilities during the merger and within the measurement period which ended 1 March 2023.  Non-compliance with the requirements of the pre-merger, merger, and migration guidelines precluded Management from establishing existence and completeness of the loan balances.  Further, provisional amounts at acquisition date were not retrospectively adjusted to reflect any new information that would have been known if inventory, validations, reconciliations have been completed as at reporting date or until end of measurement date. Consequently, this affected the faithful representation of the transferred UCPB loans and receivable balances and other related accounts in the </w:t>
      </w:r>
      <w:r w:rsidR="0074010C" w:rsidRPr="004C4F6D">
        <w:rPr>
          <w:rFonts w:ascii="Arial" w:eastAsia="Arial Narrow" w:hAnsi="Arial" w:cs="Arial"/>
          <w:color w:val="0E101A"/>
        </w:rPr>
        <w:t>f</w:t>
      </w:r>
      <w:r w:rsidRPr="004C4F6D">
        <w:rPr>
          <w:rFonts w:ascii="Arial" w:eastAsia="Arial Narrow" w:hAnsi="Arial" w:cs="Arial"/>
          <w:color w:val="0E101A"/>
        </w:rPr>
        <w:t xml:space="preserve">inancial </w:t>
      </w:r>
      <w:r w:rsidR="0074010C" w:rsidRPr="004C4F6D">
        <w:rPr>
          <w:rFonts w:ascii="Arial" w:eastAsia="Arial Narrow" w:hAnsi="Arial" w:cs="Arial"/>
          <w:color w:val="0E101A"/>
        </w:rPr>
        <w:t>s</w:t>
      </w:r>
      <w:r w:rsidRPr="004C4F6D">
        <w:rPr>
          <w:rFonts w:ascii="Arial" w:eastAsia="Arial Narrow" w:hAnsi="Arial" w:cs="Arial"/>
          <w:color w:val="0E101A"/>
        </w:rPr>
        <w:t>tatements of LBP as of December 31, 2022.</w:t>
      </w:r>
    </w:p>
    <w:p w14:paraId="5B945BAE" w14:textId="77777777" w:rsidR="0028662C" w:rsidRPr="004C4F6D" w:rsidRDefault="0028662C" w:rsidP="004C4F6D">
      <w:pPr>
        <w:pStyle w:val="ListParagraph"/>
        <w:autoSpaceDE w:val="0"/>
        <w:autoSpaceDN w:val="0"/>
        <w:adjustRightInd w:val="0"/>
        <w:spacing w:after="0" w:line="240" w:lineRule="auto"/>
        <w:ind w:left="0"/>
        <w:jc w:val="both"/>
        <w:rPr>
          <w:rFonts w:ascii="Arial" w:hAnsi="Arial" w:cs="Arial"/>
        </w:rPr>
      </w:pPr>
    </w:p>
    <w:p w14:paraId="1033212A" w14:textId="6B7BB1FA" w:rsidR="00FC4B0E" w:rsidRPr="004C4F6D" w:rsidRDefault="00332B72" w:rsidP="004C4F6D">
      <w:pPr>
        <w:pStyle w:val="ListParagraph"/>
        <w:numPr>
          <w:ilvl w:val="1"/>
          <w:numId w:val="8"/>
        </w:numPr>
        <w:autoSpaceDE w:val="0"/>
        <w:autoSpaceDN w:val="0"/>
        <w:adjustRightInd w:val="0"/>
        <w:spacing w:after="0" w:line="240" w:lineRule="auto"/>
        <w:ind w:left="0" w:firstLine="0"/>
        <w:jc w:val="both"/>
        <w:rPr>
          <w:rFonts w:ascii="Arial" w:hAnsi="Arial" w:cs="Arial"/>
          <w:b/>
        </w:rPr>
      </w:pPr>
      <w:r w:rsidRPr="004C4F6D">
        <w:rPr>
          <w:rFonts w:ascii="Arial" w:hAnsi="Arial" w:cs="Arial"/>
          <w:b/>
        </w:rPr>
        <w:t>W</w:t>
      </w:r>
      <w:r w:rsidR="00FC4B0E" w:rsidRPr="004C4F6D">
        <w:rPr>
          <w:rFonts w:ascii="Arial" w:hAnsi="Arial" w:cs="Arial"/>
          <w:b/>
        </w:rPr>
        <w:t>e recommended and Management agreed to:</w:t>
      </w:r>
    </w:p>
    <w:p w14:paraId="148BF5F8" w14:textId="77777777" w:rsidR="00FC4B0E" w:rsidRPr="004C4F6D" w:rsidRDefault="00FC4B0E" w:rsidP="004C4F6D">
      <w:pPr>
        <w:pStyle w:val="ListParagraph"/>
        <w:spacing w:after="0" w:line="240" w:lineRule="auto"/>
        <w:rPr>
          <w:rFonts w:ascii="Arial" w:eastAsia="Arial Narrow" w:hAnsi="Arial" w:cs="Arial"/>
          <w:b/>
        </w:rPr>
      </w:pPr>
    </w:p>
    <w:p w14:paraId="5867D6ED" w14:textId="296984A1" w:rsidR="00FC4B0E" w:rsidRPr="004C4F6D" w:rsidRDefault="00FC4B0E" w:rsidP="004C4F6D">
      <w:pPr>
        <w:pStyle w:val="ListParagraph"/>
        <w:numPr>
          <w:ilvl w:val="1"/>
          <w:numId w:val="15"/>
        </w:numPr>
        <w:autoSpaceDE w:val="0"/>
        <w:autoSpaceDN w:val="0"/>
        <w:adjustRightInd w:val="0"/>
        <w:spacing w:after="0" w:line="240" w:lineRule="auto"/>
        <w:ind w:left="851" w:firstLine="0"/>
        <w:jc w:val="both"/>
        <w:rPr>
          <w:rFonts w:ascii="Arial" w:eastAsia="Arial Narrow" w:hAnsi="Arial" w:cs="Arial"/>
          <w:b/>
        </w:rPr>
      </w:pPr>
      <w:bookmarkStart w:id="0" w:name="_Hlk144883607"/>
      <w:r w:rsidRPr="004C4F6D">
        <w:rPr>
          <w:rFonts w:ascii="Arial" w:eastAsia="Arial Narrow" w:hAnsi="Arial"/>
          <w:b/>
        </w:rPr>
        <w:t>Expedite</w:t>
      </w:r>
      <w:r w:rsidR="002B4A00" w:rsidRPr="004C4F6D">
        <w:rPr>
          <w:rFonts w:ascii="Arial" w:eastAsia="Arial Narrow" w:hAnsi="Arial"/>
          <w:b/>
        </w:rPr>
        <w:t xml:space="preserve"> the</w:t>
      </w:r>
      <w:r w:rsidRPr="004C4F6D">
        <w:rPr>
          <w:rFonts w:ascii="Arial" w:eastAsia="Arial Narrow" w:hAnsi="Arial"/>
          <w:b/>
        </w:rPr>
        <w:t xml:space="preserve"> inventory and validation of </w:t>
      </w:r>
      <w:r w:rsidR="002B4A00" w:rsidRPr="004C4F6D">
        <w:rPr>
          <w:rFonts w:ascii="Arial" w:eastAsia="Arial Narrow" w:hAnsi="Arial"/>
          <w:b/>
        </w:rPr>
        <w:t>c</w:t>
      </w:r>
      <w:r w:rsidRPr="004C4F6D">
        <w:rPr>
          <w:rFonts w:ascii="Arial" w:eastAsia="Arial Narrow" w:hAnsi="Arial"/>
          <w:b/>
        </w:rPr>
        <w:t xml:space="preserve">redit and loan documents, and collateral security documents </w:t>
      </w:r>
      <w:r w:rsidR="002B4A00" w:rsidRPr="004C4F6D">
        <w:rPr>
          <w:rFonts w:ascii="Arial" w:eastAsia="Arial Narrow" w:hAnsi="Arial"/>
          <w:b/>
        </w:rPr>
        <w:t xml:space="preserve">pursuant to LBP EO Nos. 104 and 109 and </w:t>
      </w:r>
      <w:r w:rsidRPr="004C4F6D">
        <w:rPr>
          <w:rFonts w:ascii="Arial" w:eastAsia="Arial Narrow" w:hAnsi="Arial"/>
          <w:b/>
        </w:rPr>
        <w:t xml:space="preserve">to confirm the existence, completeness, and accuracy of the </w:t>
      </w:r>
      <w:r w:rsidR="002B4A00" w:rsidRPr="004C4F6D">
        <w:rPr>
          <w:rFonts w:ascii="Arial" w:eastAsia="Arial Narrow" w:hAnsi="Arial"/>
          <w:b/>
        </w:rPr>
        <w:t xml:space="preserve">balance of </w:t>
      </w:r>
      <w:r w:rsidRPr="004C4F6D">
        <w:rPr>
          <w:rFonts w:ascii="Arial" w:eastAsia="Arial Narrow" w:hAnsi="Arial"/>
          <w:b/>
        </w:rPr>
        <w:t>Loans and Receivable account as presented in the financial statements</w:t>
      </w:r>
      <w:bookmarkEnd w:id="0"/>
      <w:r w:rsidR="002B4A00" w:rsidRPr="004C4F6D">
        <w:rPr>
          <w:rFonts w:ascii="Arial" w:eastAsia="Arial Narrow" w:hAnsi="Arial" w:cs="Arial"/>
          <w:b/>
        </w:rPr>
        <w:t>;</w:t>
      </w:r>
    </w:p>
    <w:p w14:paraId="22AD25E7" w14:textId="77777777" w:rsidR="00FC4B0E" w:rsidRPr="004C4F6D" w:rsidRDefault="00FC4B0E" w:rsidP="004C4F6D">
      <w:pPr>
        <w:pStyle w:val="ListParagraph"/>
        <w:autoSpaceDE w:val="0"/>
        <w:autoSpaceDN w:val="0"/>
        <w:adjustRightInd w:val="0"/>
        <w:spacing w:after="0" w:line="240" w:lineRule="auto"/>
        <w:ind w:left="0"/>
        <w:jc w:val="both"/>
        <w:rPr>
          <w:rFonts w:ascii="Arial" w:eastAsia="Arial Narrow" w:hAnsi="Arial" w:cs="Arial"/>
          <w:b/>
        </w:rPr>
      </w:pPr>
    </w:p>
    <w:p w14:paraId="6793E6A8" w14:textId="77777777" w:rsidR="00FC4B0E" w:rsidRPr="004C4F6D" w:rsidRDefault="00FC4B0E" w:rsidP="004C4F6D">
      <w:pPr>
        <w:pStyle w:val="ListParagraph"/>
        <w:numPr>
          <w:ilvl w:val="1"/>
          <w:numId w:val="15"/>
        </w:numPr>
        <w:autoSpaceDE w:val="0"/>
        <w:autoSpaceDN w:val="0"/>
        <w:adjustRightInd w:val="0"/>
        <w:spacing w:after="0" w:line="240" w:lineRule="auto"/>
        <w:ind w:left="851" w:firstLine="0"/>
        <w:jc w:val="both"/>
        <w:rPr>
          <w:rFonts w:ascii="Arial" w:eastAsia="Arial Narrow" w:hAnsi="Arial" w:cs="Arial"/>
          <w:b/>
        </w:rPr>
      </w:pPr>
      <w:r w:rsidRPr="004C4F6D">
        <w:rPr>
          <w:rFonts w:ascii="Arial" w:eastAsia="Arial Narrow" w:hAnsi="Arial"/>
          <w:b/>
        </w:rPr>
        <w:t>Reconcile inventory of loan/credit folders and collateral with the subsidiary ledger items to establish existence and completeness of the subsidiary ledger items;</w:t>
      </w:r>
    </w:p>
    <w:p w14:paraId="3004AFC5" w14:textId="77777777" w:rsidR="00FC4B0E" w:rsidRPr="004C4F6D" w:rsidRDefault="00FC4B0E" w:rsidP="004C4F6D">
      <w:pPr>
        <w:tabs>
          <w:tab w:val="left" w:pos="317"/>
          <w:tab w:val="left" w:pos="709"/>
        </w:tabs>
        <w:spacing w:after="0" w:line="240" w:lineRule="auto"/>
        <w:ind w:left="851"/>
        <w:jc w:val="both"/>
        <w:rPr>
          <w:rFonts w:ascii="Arial" w:eastAsia="Arial Narrow" w:hAnsi="Arial" w:cs="Arial"/>
          <w:b/>
        </w:rPr>
      </w:pPr>
    </w:p>
    <w:p w14:paraId="3ED7F242" w14:textId="77777777" w:rsidR="00FC4B0E" w:rsidRPr="004C4F6D" w:rsidRDefault="00FC4B0E" w:rsidP="004C4F6D">
      <w:pPr>
        <w:pStyle w:val="ListParagraph"/>
        <w:numPr>
          <w:ilvl w:val="1"/>
          <w:numId w:val="15"/>
        </w:numPr>
        <w:autoSpaceDE w:val="0"/>
        <w:autoSpaceDN w:val="0"/>
        <w:adjustRightInd w:val="0"/>
        <w:spacing w:after="0" w:line="240" w:lineRule="auto"/>
        <w:ind w:left="851" w:firstLine="0"/>
        <w:jc w:val="both"/>
        <w:rPr>
          <w:rFonts w:ascii="Arial" w:eastAsia="Arial Narrow" w:hAnsi="Arial" w:cs="Arial"/>
          <w:b/>
          <w:lang w:val="en-US"/>
        </w:rPr>
      </w:pPr>
      <w:r w:rsidRPr="004C4F6D">
        <w:rPr>
          <w:rFonts w:ascii="Arial" w:eastAsia="Arial Narrow" w:hAnsi="Arial"/>
          <w:b/>
        </w:rPr>
        <w:t>Make the necessary adjustments for identified discrepancies, if any, as a result of the verification and confirmation of SL items</w:t>
      </w:r>
      <w:r w:rsidRPr="004C4F6D">
        <w:rPr>
          <w:rFonts w:ascii="Arial" w:eastAsia="Arial Narrow" w:hAnsi="Arial"/>
          <w:b/>
          <w:lang w:val="en-US"/>
        </w:rPr>
        <w:t xml:space="preserve">; </w:t>
      </w:r>
    </w:p>
    <w:p w14:paraId="7D7591B5" w14:textId="77777777" w:rsidR="00FC4B0E" w:rsidRPr="004C4F6D" w:rsidRDefault="00FC4B0E" w:rsidP="004C4F6D">
      <w:pPr>
        <w:tabs>
          <w:tab w:val="left" w:pos="317"/>
          <w:tab w:val="left" w:pos="709"/>
        </w:tabs>
        <w:spacing w:after="0" w:line="240" w:lineRule="auto"/>
        <w:ind w:left="851"/>
        <w:jc w:val="both"/>
        <w:rPr>
          <w:rFonts w:ascii="Arial" w:eastAsia="Arial Narrow" w:hAnsi="Arial" w:cs="Arial"/>
          <w:b/>
        </w:rPr>
      </w:pPr>
    </w:p>
    <w:p w14:paraId="2263D4C0" w14:textId="5633D4C3" w:rsidR="00FC4B0E" w:rsidRPr="004C4F6D" w:rsidRDefault="00FC4B0E" w:rsidP="004C4F6D">
      <w:pPr>
        <w:pStyle w:val="ListParagraph"/>
        <w:numPr>
          <w:ilvl w:val="1"/>
          <w:numId w:val="15"/>
        </w:numPr>
        <w:autoSpaceDE w:val="0"/>
        <w:autoSpaceDN w:val="0"/>
        <w:adjustRightInd w:val="0"/>
        <w:spacing w:after="0" w:line="240" w:lineRule="auto"/>
        <w:ind w:left="851" w:firstLine="0"/>
        <w:jc w:val="both"/>
        <w:rPr>
          <w:rFonts w:ascii="Arial" w:eastAsia="Arial Narrow" w:hAnsi="Arial" w:cs="Arial"/>
          <w:b/>
        </w:rPr>
      </w:pPr>
      <w:bookmarkStart w:id="1" w:name="_Hlk144883646"/>
      <w:r w:rsidRPr="004C4F6D">
        <w:rPr>
          <w:rFonts w:ascii="Arial" w:eastAsia="Arial Narrow" w:hAnsi="Arial"/>
          <w:b/>
        </w:rPr>
        <w:t>Employ</w:t>
      </w:r>
      <w:r w:rsidRPr="004C4F6D">
        <w:rPr>
          <w:rFonts w:ascii="Arial" w:eastAsia="Arial Narrow" w:hAnsi="Arial" w:cs="Arial"/>
          <w:b/>
        </w:rPr>
        <w:t xml:space="preserve"> appropriate mea</w:t>
      </w:r>
      <w:r w:rsidR="002B4A00" w:rsidRPr="004C4F6D">
        <w:rPr>
          <w:rFonts w:ascii="Arial" w:eastAsia="Arial Narrow" w:hAnsi="Arial" w:cs="Arial"/>
          <w:b/>
        </w:rPr>
        <w:t>sures</w:t>
      </w:r>
      <w:r w:rsidRPr="004C4F6D">
        <w:rPr>
          <w:rFonts w:ascii="Arial" w:eastAsia="Arial Narrow" w:hAnsi="Arial" w:cs="Arial"/>
          <w:b/>
        </w:rPr>
        <w:t xml:space="preserve"> to address manpower issues; </w:t>
      </w:r>
      <w:bookmarkEnd w:id="1"/>
      <w:r w:rsidRPr="004C4F6D">
        <w:rPr>
          <w:rFonts w:ascii="Arial" w:eastAsia="Arial Narrow" w:hAnsi="Arial" w:cs="Arial"/>
          <w:b/>
        </w:rPr>
        <w:t xml:space="preserve">and </w:t>
      </w:r>
    </w:p>
    <w:p w14:paraId="6AE5974C" w14:textId="77777777" w:rsidR="00FC4B0E" w:rsidRPr="004C4F6D" w:rsidRDefault="00FC4B0E" w:rsidP="004C4F6D">
      <w:pPr>
        <w:pStyle w:val="ListParagraph"/>
        <w:rPr>
          <w:rFonts w:ascii="Arial" w:eastAsia="Arial Narrow" w:hAnsi="Arial" w:cs="Arial"/>
          <w:b/>
        </w:rPr>
      </w:pPr>
    </w:p>
    <w:p w14:paraId="04EA3EBE" w14:textId="1D7622F8" w:rsidR="00FC4B0E" w:rsidRPr="004C4F6D" w:rsidRDefault="00FC4B0E" w:rsidP="004C4F6D">
      <w:pPr>
        <w:pStyle w:val="ListParagraph"/>
        <w:numPr>
          <w:ilvl w:val="1"/>
          <w:numId w:val="15"/>
        </w:numPr>
        <w:autoSpaceDE w:val="0"/>
        <w:autoSpaceDN w:val="0"/>
        <w:adjustRightInd w:val="0"/>
        <w:spacing w:after="0" w:line="240" w:lineRule="auto"/>
        <w:ind w:left="851" w:firstLine="0"/>
        <w:jc w:val="both"/>
        <w:rPr>
          <w:rFonts w:ascii="Arial" w:eastAsia="Arial Narrow" w:hAnsi="Arial" w:cs="Arial"/>
          <w:b/>
        </w:rPr>
      </w:pPr>
      <w:bookmarkStart w:id="2" w:name="_Hlk144883696"/>
      <w:r w:rsidRPr="004C4F6D">
        <w:rPr>
          <w:rFonts w:ascii="Arial" w:eastAsia="Arial Narrow" w:hAnsi="Arial" w:cs="Arial"/>
          <w:b/>
          <w:lang w:val="en-US"/>
        </w:rPr>
        <w:t xml:space="preserve">Consider a revised procedural guideline with specific timelines to </w:t>
      </w:r>
      <w:r w:rsidRPr="004C4F6D">
        <w:rPr>
          <w:rFonts w:ascii="Arial" w:eastAsia="Arial Narrow" w:hAnsi="Arial" w:cs="Arial"/>
          <w:b/>
          <w:lang w:val="en-US"/>
        </w:rPr>
        <w:br/>
        <w:t xml:space="preserve">complete </w:t>
      </w:r>
      <w:r w:rsidR="00332B72" w:rsidRPr="004C4F6D">
        <w:rPr>
          <w:rFonts w:ascii="Arial" w:eastAsia="Arial Narrow" w:hAnsi="Arial" w:cs="Arial"/>
          <w:b/>
          <w:lang w:val="en-US"/>
        </w:rPr>
        <w:t xml:space="preserve">validation </w:t>
      </w:r>
      <w:r w:rsidRPr="004C4F6D">
        <w:rPr>
          <w:rFonts w:ascii="Arial" w:eastAsia="Arial Narrow" w:hAnsi="Arial" w:cs="Arial"/>
          <w:b/>
          <w:lang w:val="en-US"/>
        </w:rPr>
        <w:t>activities</w:t>
      </w:r>
      <w:r w:rsidR="002B4A00" w:rsidRPr="004C4F6D">
        <w:rPr>
          <w:rFonts w:ascii="Arial" w:eastAsia="Arial Narrow" w:hAnsi="Arial" w:cs="Arial"/>
          <w:b/>
          <w:lang w:val="en-US"/>
        </w:rPr>
        <w:t xml:space="preserve"> pursuant to </w:t>
      </w:r>
      <w:r w:rsidR="002B4A00" w:rsidRPr="004C4F6D">
        <w:rPr>
          <w:rFonts w:ascii="Arial" w:eastAsia="Arial Narrow" w:hAnsi="Arial"/>
          <w:b/>
        </w:rPr>
        <w:t>LBP EO Nos. 104 and 109</w:t>
      </w:r>
      <w:bookmarkEnd w:id="2"/>
      <w:r w:rsidR="002B4A00" w:rsidRPr="004C4F6D">
        <w:rPr>
          <w:rFonts w:ascii="Arial" w:eastAsia="Arial Narrow" w:hAnsi="Arial"/>
          <w:b/>
        </w:rPr>
        <w:t>.</w:t>
      </w:r>
    </w:p>
    <w:p w14:paraId="451241BC" w14:textId="77777777" w:rsidR="00332B72" w:rsidRPr="004C4F6D" w:rsidRDefault="00332B72" w:rsidP="004C4F6D">
      <w:pPr>
        <w:autoSpaceDE w:val="0"/>
        <w:autoSpaceDN w:val="0"/>
        <w:adjustRightInd w:val="0"/>
        <w:spacing w:after="0" w:line="240" w:lineRule="auto"/>
        <w:jc w:val="both"/>
        <w:rPr>
          <w:rFonts w:ascii="Arial" w:eastAsia="Arial Narrow" w:hAnsi="Arial" w:cs="Arial"/>
          <w:b/>
        </w:rPr>
      </w:pPr>
    </w:p>
    <w:p w14:paraId="4EB23140" w14:textId="56A6E940" w:rsidR="00332B72" w:rsidRPr="004C4F6D" w:rsidRDefault="00332B72" w:rsidP="004C4F6D">
      <w:pPr>
        <w:pStyle w:val="ListParagraph"/>
        <w:numPr>
          <w:ilvl w:val="1"/>
          <w:numId w:val="8"/>
        </w:numPr>
        <w:autoSpaceDE w:val="0"/>
        <w:autoSpaceDN w:val="0"/>
        <w:adjustRightInd w:val="0"/>
        <w:spacing w:after="0" w:line="240" w:lineRule="auto"/>
        <w:ind w:left="0" w:firstLine="0"/>
        <w:jc w:val="both"/>
        <w:rPr>
          <w:rFonts w:ascii="Arial" w:hAnsi="Arial" w:cs="Arial"/>
        </w:rPr>
      </w:pPr>
      <w:r w:rsidRPr="004C4F6D">
        <w:rPr>
          <w:rFonts w:ascii="Arial" w:hAnsi="Arial" w:cs="Arial"/>
          <w:bCs/>
        </w:rPr>
        <w:t>Management informed</w:t>
      </w:r>
      <w:r w:rsidRPr="004C4F6D">
        <w:rPr>
          <w:rFonts w:ascii="Arial" w:hAnsi="Arial" w:cs="Arial"/>
        </w:rPr>
        <w:t xml:space="preserve"> </w:t>
      </w:r>
      <w:r w:rsidR="008219E5" w:rsidRPr="004C4F6D">
        <w:rPr>
          <w:rFonts w:ascii="Arial" w:hAnsi="Arial" w:cs="Arial"/>
        </w:rPr>
        <w:t xml:space="preserve">that </w:t>
      </w:r>
      <w:r w:rsidR="008219E5" w:rsidRPr="004C4F6D">
        <w:rPr>
          <w:rFonts w:ascii="Arial" w:eastAsia="Arial Narrow" w:hAnsi="Arial" w:cs="Arial"/>
        </w:rPr>
        <w:t>activities</w:t>
      </w:r>
      <w:r w:rsidR="00E845E7" w:rsidRPr="004C4F6D">
        <w:rPr>
          <w:rFonts w:ascii="Arial" w:eastAsia="Arial Narrow" w:hAnsi="Arial" w:cs="Arial"/>
        </w:rPr>
        <w:t xml:space="preserve"> towards the implementation of the recommendations </w:t>
      </w:r>
      <w:r w:rsidR="00FC4B0E" w:rsidRPr="004C4F6D">
        <w:rPr>
          <w:rFonts w:ascii="Arial" w:eastAsia="Arial Narrow" w:hAnsi="Arial" w:cs="Arial"/>
        </w:rPr>
        <w:t>started in March 2023</w:t>
      </w:r>
      <w:r w:rsidR="00E845E7" w:rsidRPr="004C4F6D">
        <w:rPr>
          <w:rFonts w:ascii="Arial" w:eastAsia="Arial Narrow" w:hAnsi="Arial" w:cs="Arial"/>
        </w:rPr>
        <w:t>.</w:t>
      </w:r>
      <w:r w:rsidRPr="004C4F6D">
        <w:rPr>
          <w:rFonts w:ascii="Arial" w:eastAsia="Arial Narrow" w:hAnsi="Arial" w:cs="Arial"/>
        </w:rPr>
        <w:t>, aimed at</w:t>
      </w:r>
      <w:r w:rsidR="00FC4B0E" w:rsidRPr="004C4F6D">
        <w:rPr>
          <w:rFonts w:ascii="Arial" w:eastAsia="Arial Narrow" w:hAnsi="Arial" w:cs="Arial"/>
        </w:rPr>
        <w:t xml:space="preserve"> reconcil</w:t>
      </w:r>
      <w:r w:rsidRPr="004C4F6D">
        <w:rPr>
          <w:rFonts w:ascii="Arial" w:eastAsia="Arial Narrow" w:hAnsi="Arial" w:cs="Arial"/>
        </w:rPr>
        <w:t>ing</w:t>
      </w:r>
      <w:r w:rsidR="00FC4B0E" w:rsidRPr="004C4F6D">
        <w:rPr>
          <w:rFonts w:ascii="Arial" w:eastAsia="Arial Narrow" w:hAnsi="Arial" w:cs="Arial"/>
        </w:rPr>
        <w:t xml:space="preserve"> the securities documents safe</w:t>
      </w:r>
      <w:r w:rsidR="00517424" w:rsidRPr="004C4F6D">
        <w:rPr>
          <w:rFonts w:ascii="Arial" w:eastAsia="Arial Narrow" w:hAnsi="Arial" w:cs="Arial"/>
        </w:rPr>
        <w:t xml:space="preserve"> </w:t>
      </w:r>
      <w:r w:rsidR="00FC4B0E" w:rsidRPr="004C4F6D">
        <w:rPr>
          <w:rFonts w:ascii="Arial" w:eastAsia="Arial Narrow" w:hAnsi="Arial" w:cs="Arial"/>
        </w:rPr>
        <w:t>kept inside the vault versus the booked items</w:t>
      </w:r>
      <w:r w:rsidRPr="004C4F6D">
        <w:rPr>
          <w:rFonts w:ascii="Arial" w:eastAsia="Arial Narrow" w:hAnsi="Arial" w:cs="Arial"/>
        </w:rPr>
        <w:t xml:space="preserve">.  </w:t>
      </w:r>
      <w:r w:rsidR="00B556BA" w:rsidRPr="004C4F6D">
        <w:rPr>
          <w:rFonts w:ascii="Arial" w:eastAsia="Arial Narrow" w:hAnsi="Arial" w:cs="Arial"/>
        </w:rPr>
        <w:t>They updated</w:t>
      </w:r>
      <w:r w:rsidRPr="004C4F6D">
        <w:rPr>
          <w:rFonts w:ascii="Arial" w:eastAsia="Arial Narrow" w:hAnsi="Arial" w:cs="Arial"/>
        </w:rPr>
        <w:t xml:space="preserve"> that a</w:t>
      </w:r>
      <w:r w:rsidR="00FC4B0E" w:rsidRPr="004C4F6D">
        <w:rPr>
          <w:rFonts w:ascii="Arial" w:eastAsia="Arial Narrow" w:hAnsi="Arial" w:cs="Arial"/>
        </w:rPr>
        <w:t xml:space="preserve">s of 31 May 2023, of the 40,941 and 19,888 booked collaterals of Head Office and Field Units, 26,247 (64%), 14,918 (75%) were validated, and 14,694 (36%) and 4,970 (25%) are still for inventory. </w:t>
      </w:r>
      <w:r w:rsidR="00FC4B0E" w:rsidRPr="004C4F6D">
        <w:rPr>
          <w:rFonts w:ascii="Arial" w:eastAsia="Arial Narrow" w:hAnsi="Arial" w:cs="Arial"/>
        </w:rPr>
        <w:lastRenderedPageBreak/>
        <w:t>The target completion date is December 2023.</w:t>
      </w:r>
      <w:r w:rsidRPr="004C4F6D">
        <w:rPr>
          <w:rFonts w:ascii="Arial" w:eastAsia="Arial Narrow" w:hAnsi="Arial" w:cs="Arial"/>
        </w:rPr>
        <w:t xml:space="preserve"> </w:t>
      </w:r>
      <w:r w:rsidR="00FC4B0E" w:rsidRPr="004C4F6D">
        <w:rPr>
          <w:rFonts w:ascii="Arial" w:eastAsia="Arial Narrow" w:hAnsi="Arial" w:cs="Arial"/>
        </w:rPr>
        <w:t>Correspon</w:t>
      </w:r>
      <w:r w:rsidR="00517424" w:rsidRPr="004C4F6D">
        <w:rPr>
          <w:rFonts w:ascii="Arial" w:eastAsia="Arial Narrow" w:hAnsi="Arial" w:cs="Arial"/>
        </w:rPr>
        <w:t>d</w:t>
      </w:r>
      <w:r w:rsidR="00FC4B0E" w:rsidRPr="004C4F6D">
        <w:rPr>
          <w:rFonts w:ascii="Arial" w:eastAsia="Arial Narrow" w:hAnsi="Arial" w:cs="Arial"/>
        </w:rPr>
        <w:t>ing adjustments, if any, shall be made</w:t>
      </w:r>
      <w:r w:rsidRPr="004C4F6D">
        <w:rPr>
          <w:rFonts w:ascii="Arial" w:eastAsia="Arial Narrow" w:hAnsi="Arial" w:cs="Arial"/>
        </w:rPr>
        <w:t xml:space="preserve"> by them</w:t>
      </w:r>
      <w:r w:rsidR="00FC4B0E" w:rsidRPr="004C4F6D">
        <w:rPr>
          <w:rFonts w:ascii="Arial" w:eastAsia="Arial Narrow" w:hAnsi="Arial" w:cs="Arial"/>
        </w:rPr>
        <w:t xml:space="preserve"> upon completion of the physical inventory.</w:t>
      </w:r>
    </w:p>
    <w:p w14:paraId="219329A8" w14:textId="77777777" w:rsidR="002C32C8" w:rsidRPr="004C4F6D" w:rsidRDefault="002C32C8" w:rsidP="004C4F6D">
      <w:pPr>
        <w:pStyle w:val="ListParagraph"/>
        <w:autoSpaceDE w:val="0"/>
        <w:autoSpaceDN w:val="0"/>
        <w:adjustRightInd w:val="0"/>
        <w:spacing w:after="0" w:line="240" w:lineRule="auto"/>
        <w:ind w:left="0"/>
        <w:jc w:val="both"/>
      </w:pPr>
    </w:p>
    <w:p w14:paraId="60E4A7BE" w14:textId="77777777" w:rsidR="00D1786B" w:rsidRPr="004C4F6D" w:rsidRDefault="00D1786B" w:rsidP="004C4F6D">
      <w:pPr>
        <w:spacing w:after="0" w:line="240" w:lineRule="auto"/>
        <w:jc w:val="both"/>
        <w:rPr>
          <w:rFonts w:ascii="Arial" w:hAnsi="Arial" w:cs="Arial"/>
          <w:lang w:val="en-US"/>
        </w:rPr>
      </w:pPr>
    </w:p>
    <w:p w14:paraId="130687D0" w14:textId="4A10DBB6" w:rsidR="00F218B3" w:rsidRPr="004C4F6D" w:rsidRDefault="00F218B3" w:rsidP="004C4F6D">
      <w:pPr>
        <w:numPr>
          <w:ilvl w:val="0"/>
          <w:numId w:val="4"/>
        </w:numPr>
        <w:spacing w:after="0" w:line="240" w:lineRule="auto"/>
        <w:ind w:left="0" w:firstLine="0"/>
        <w:jc w:val="both"/>
        <w:rPr>
          <w:rFonts w:ascii="Arial" w:hAnsi="Arial" w:cs="Arial"/>
          <w:lang w:val="en-US"/>
        </w:rPr>
      </w:pPr>
      <w:bookmarkStart w:id="3" w:name="_Hlk144883717"/>
      <w:r w:rsidRPr="004C4F6D">
        <w:rPr>
          <w:rFonts w:ascii="Arial" w:eastAsia="Arial Narrow" w:hAnsi="Arial" w:cs="Arial"/>
          <w:b/>
        </w:rPr>
        <w:t>The faithful representation of the balance of Bank Property, Furniture, Fixtures and Equipment (BPFFE) transferred from UCPB to LBP, with a net book value amounting to P651.857 million as of December 31, 2022, was not established since properties were not yet completely verified the Bank, the</w:t>
      </w:r>
      <w:r w:rsidR="008219E5" w:rsidRPr="004C4F6D">
        <w:rPr>
          <w:rFonts w:ascii="Arial" w:eastAsia="Arial Narrow" w:hAnsi="Arial" w:cs="Arial"/>
          <w:b/>
        </w:rPr>
        <w:t xml:space="preserve"> </w:t>
      </w:r>
      <w:r w:rsidRPr="004C4F6D">
        <w:rPr>
          <w:rFonts w:ascii="Arial" w:eastAsia="Arial Narrow" w:hAnsi="Arial" w:cs="Arial"/>
          <w:b/>
        </w:rPr>
        <w:t>inventory report and SL account balances were not yet reconciled, while discrepancies during the actual merger/migration by the Bank were not yet resolved , contrary to paragraph 2.12 of the Conceptual Framework on Financial Reporting</w:t>
      </w:r>
      <w:r w:rsidRPr="004C4F6D">
        <w:rPr>
          <w:rFonts w:ascii="Arial" w:hAnsi="Arial" w:cs="Arial"/>
          <w:b/>
        </w:rPr>
        <w:t xml:space="preserve">. </w:t>
      </w:r>
    </w:p>
    <w:p w14:paraId="7C94E517" w14:textId="77777777" w:rsidR="00F218B3" w:rsidRPr="004C4F6D" w:rsidRDefault="00F218B3" w:rsidP="004C4F6D">
      <w:pPr>
        <w:spacing w:after="0" w:line="240" w:lineRule="auto"/>
        <w:contextualSpacing/>
        <w:jc w:val="both"/>
        <w:rPr>
          <w:rFonts w:ascii="Arial" w:hAnsi="Arial" w:cs="Arial"/>
          <w:lang w:val="en-US"/>
        </w:rPr>
      </w:pPr>
    </w:p>
    <w:p w14:paraId="77259BD6" w14:textId="77777777" w:rsidR="00F218B3" w:rsidRPr="004C4F6D" w:rsidRDefault="00F218B3" w:rsidP="004C4F6D">
      <w:pPr>
        <w:pStyle w:val="ListParagraph"/>
        <w:numPr>
          <w:ilvl w:val="1"/>
          <w:numId w:val="4"/>
        </w:numPr>
        <w:autoSpaceDE w:val="0"/>
        <w:autoSpaceDN w:val="0"/>
        <w:adjustRightInd w:val="0"/>
        <w:spacing w:after="0" w:line="240" w:lineRule="auto"/>
        <w:ind w:left="720" w:hanging="720"/>
        <w:jc w:val="both"/>
        <w:rPr>
          <w:rFonts w:ascii="Arial" w:hAnsi="Arial" w:cs="Arial"/>
        </w:rPr>
      </w:pPr>
      <w:r w:rsidRPr="004C4F6D">
        <w:rPr>
          <w:rFonts w:ascii="Arial" w:eastAsia="Arial Narrow" w:hAnsi="Arial" w:cs="Arial"/>
        </w:rPr>
        <w:t>Paragraph 2.12 of the Conceptual Framework for Financial Reporting provides:</w:t>
      </w:r>
    </w:p>
    <w:p w14:paraId="78D863F0" w14:textId="77777777" w:rsidR="00F218B3" w:rsidRPr="004C4F6D" w:rsidRDefault="00F218B3" w:rsidP="004C4F6D">
      <w:pPr>
        <w:pStyle w:val="ListParagraph"/>
        <w:autoSpaceDE w:val="0"/>
        <w:autoSpaceDN w:val="0"/>
        <w:adjustRightInd w:val="0"/>
        <w:spacing w:after="0" w:line="240" w:lineRule="auto"/>
        <w:ind w:left="851" w:firstLine="425"/>
        <w:jc w:val="both"/>
        <w:rPr>
          <w:rFonts w:ascii="Arial" w:hAnsi="Arial" w:cs="Arial"/>
        </w:rPr>
      </w:pPr>
    </w:p>
    <w:p w14:paraId="207EF07D" w14:textId="77777777" w:rsidR="00F218B3" w:rsidRPr="004C4F6D" w:rsidRDefault="00F218B3" w:rsidP="004C4F6D">
      <w:pPr>
        <w:pStyle w:val="ListParagraph"/>
        <w:tabs>
          <w:tab w:val="left" w:pos="7938"/>
        </w:tabs>
        <w:spacing w:after="0" w:line="240" w:lineRule="auto"/>
        <w:ind w:right="740"/>
        <w:jc w:val="both"/>
        <w:rPr>
          <w:rFonts w:ascii="Arial" w:eastAsia="Arial Narrow" w:hAnsi="Arial" w:cs="Arial"/>
          <w:i/>
        </w:rPr>
      </w:pPr>
      <w:r w:rsidRPr="004C4F6D">
        <w:rPr>
          <w:rFonts w:ascii="Arial" w:eastAsia="Arial Narrow" w:hAnsi="Arial" w:cs="Arial"/>
          <w:i/>
        </w:rPr>
        <w:t>2.12 Financial reports represent economic phenomena in words and numbers. To be useful, financial information must not only represent relevant phenomena, but it must also faithfully represent the substance of the phenomena that it purports to represent. In many circumstances, the substance of an economic phenomenon and its legal form are the same. If they are not the same, providing information only about the legal form would not faithfully represent the economic phenomenon</w:t>
      </w:r>
    </w:p>
    <w:p w14:paraId="40DCC074" w14:textId="77777777" w:rsidR="00F218B3" w:rsidRPr="004C4F6D" w:rsidRDefault="00F218B3" w:rsidP="004C4F6D">
      <w:pPr>
        <w:pStyle w:val="ListParagraph"/>
        <w:autoSpaceDE w:val="0"/>
        <w:autoSpaceDN w:val="0"/>
        <w:adjustRightInd w:val="0"/>
        <w:spacing w:after="0" w:line="240" w:lineRule="auto"/>
        <w:ind w:left="1276"/>
        <w:jc w:val="both"/>
        <w:rPr>
          <w:rFonts w:ascii="Arial" w:hAnsi="Arial" w:cs="Arial"/>
        </w:rPr>
      </w:pPr>
    </w:p>
    <w:p w14:paraId="6FD00232" w14:textId="0697CC84"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00000"/>
        </w:rPr>
        <w:t xml:space="preserve">LBP Executive Orders (EOs) were issued to guide the Bank’s various units prior to and during the merger with UCPB, including LBP EO No. 104 dated December 17, 2021 prescribing </w:t>
      </w:r>
      <w:r w:rsidR="006E7C79" w:rsidRPr="004C4F6D">
        <w:rPr>
          <w:rFonts w:ascii="Arial" w:eastAsia="Arial Narrow" w:hAnsi="Arial" w:cs="Arial"/>
          <w:color w:val="000000"/>
        </w:rPr>
        <w:t>the Guidelines on the Transfer a</w:t>
      </w:r>
      <w:r w:rsidRPr="004C4F6D">
        <w:rPr>
          <w:rFonts w:ascii="Arial" w:eastAsia="Arial Narrow" w:hAnsi="Arial" w:cs="Arial"/>
          <w:color w:val="000000"/>
        </w:rPr>
        <w:t>nd Booking Of Assets And Liabilities And Turnover Of Documents And Records Of The United Coconut Planters Bank (UCPB) To Landbank Pursuant To The Merger and EO No. 105 dated December 17, 2021 prescribing the Guidelines on the Validation and Turnover of UCPB Fixed Assets to LANDBANK. Same provisions of LBP EO 104 mentioned in the audit issue on loans and receivable apply.</w:t>
      </w:r>
    </w:p>
    <w:p w14:paraId="19F13320" w14:textId="77777777" w:rsidR="00F218B3" w:rsidRPr="004C4F6D" w:rsidRDefault="00F218B3" w:rsidP="004C4F6D">
      <w:pPr>
        <w:pStyle w:val="ListParagraph"/>
        <w:autoSpaceDE w:val="0"/>
        <w:autoSpaceDN w:val="0"/>
        <w:adjustRightInd w:val="0"/>
        <w:spacing w:after="0" w:line="240" w:lineRule="auto"/>
        <w:ind w:left="0"/>
        <w:jc w:val="both"/>
        <w:rPr>
          <w:rFonts w:ascii="Arial" w:hAnsi="Arial" w:cs="Arial"/>
        </w:rPr>
      </w:pPr>
    </w:p>
    <w:p w14:paraId="554308F2" w14:textId="77777777"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iCs/>
          <w:color w:val="000000"/>
        </w:rPr>
        <w:t>Salient provisions of LBP EO No. 105 provide that:</w:t>
      </w:r>
    </w:p>
    <w:p w14:paraId="07BB2035" w14:textId="77777777" w:rsidR="00F218B3" w:rsidRPr="004C4F6D" w:rsidRDefault="00F218B3" w:rsidP="004C4F6D">
      <w:pPr>
        <w:pStyle w:val="ListParagraph"/>
        <w:autoSpaceDE w:val="0"/>
        <w:autoSpaceDN w:val="0"/>
        <w:adjustRightInd w:val="0"/>
        <w:spacing w:after="0" w:line="240" w:lineRule="auto"/>
        <w:ind w:left="0"/>
        <w:jc w:val="both"/>
        <w:rPr>
          <w:rFonts w:ascii="Arial" w:hAnsi="Arial" w:cs="Arial"/>
        </w:rPr>
      </w:pPr>
    </w:p>
    <w:p w14:paraId="30CF4122" w14:textId="77777777" w:rsidR="00F218B3" w:rsidRPr="004C4F6D" w:rsidRDefault="00F218B3" w:rsidP="004C4F6D">
      <w:pPr>
        <w:tabs>
          <w:tab w:val="left" w:pos="1440"/>
        </w:tabs>
        <w:spacing w:after="0" w:line="240" w:lineRule="auto"/>
        <w:ind w:left="720" w:right="716"/>
        <w:jc w:val="both"/>
        <w:rPr>
          <w:rFonts w:ascii="Arial" w:eastAsia="Arial Narrow" w:hAnsi="Arial" w:cs="Arial"/>
          <w:color w:val="000000"/>
        </w:rPr>
      </w:pPr>
      <w:r w:rsidRPr="004C4F6D">
        <w:rPr>
          <w:rFonts w:ascii="Arial" w:eastAsia="Arial Narrow" w:hAnsi="Arial" w:cs="Arial"/>
          <w:i/>
          <w:color w:val="000000"/>
        </w:rPr>
        <w:t xml:space="preserve">1. </w:t>
      </w:r>
      <w:r w:rsidRPr="004C4F6D">
        <w:rPr>
          <w:rFonts w:ascii="Arial" w:eastAsia="Arial Narrow" w:hAnsi="Arial" w:cs="Arial"/>
          <w:i/>
          <w:color w:val="000000"/>
        </w:rPr>
        <w:tab/>
        <w:t>Facilities Management Department (FMD) shall be the central unit authorized to receive the inventory lists of fixed assets from UCPB Financial Accounting Department [for Head Office (HO)] and Branch Financial Services Department [for Field Units (FUs)].</w:t>
      </w:r>
    </w:p>
    <w:p w14:paraId="1A0291D1" w14:textId="77777777" w:rsidR="00F218B3" w:rsidRPr="004C4F6D" w:rsidRDefault="00F218B3" w:rsidP="004C4F6D">
      <w:pPr>
        <w:spacing w:after="0" w:line="240" w:lineRule="auto"/>
        <w:ind w:left="1134" w:right="140"/>
        <w:jc w:val="both"/>
        <w:rPr>
          <w:rFonts w:ascii="Arial" w:eastAsia="Arial Narrow" w:hAnsi="Arial" w:cs="Arial"/>
          <w:i/>
          <w:color w:val="000000"/>
        </w:rPr>
      </w:pPr>
    </w:p>
    <w:p w14:paraId="6FA0B7F2" w14:textId="77777777" w:rsidR="00F218B3" w:rsidRPr="004C4F6D" w:rsidRDefault="00F218B3" w:rsidP="004C4F6D">
      <w:pPr>
        <w:spacing w:after="0" w:line="240" w:lineRule="auto"/>
        <w:ind w:left="1440" w:right="140" w:hanging="90"/>
        <w:jc w:val="both"/>
        <w:rPr>
          <w:rFonts w:ascii="Arial" w:eastAsia="Arial Narrow" w:hAnsi="Arial" w:cs="Arial"/>
          <w:i/>
          <w:color w:val="000000"/>
        </w:rPr>
      </w:pPr>
      <w:r w:rsidRPr="004C4F6D">
        <w:rPr>
          <w:rFonts w:ascii="Arial" w:eastAsia="Arial Narrow" w:hAnsi="Arial" w:cs="Arial"/>
          <w:i/>
          <w:color w:val="000000"/>
        </w:rPr>
        <w:t>Notes:</w:t>
      </w:r>
    </w:p>
    <w:p w14:paraId="03BDA186" w14:textId="77777777" w:rsidR="00F218B3" w:rsidRPr="004C4F6D" w:rsidRDefault="00F218B3" w:rsidP="004C4F6D">
      <w:pPr>
        <w:spacing w:after="0" w:line="240" w:lineRule="auto"/>
        <w:ind w:left="1134" w:right="140"/>
        <w:jc w:val="both"/>
        <w:rPr>
          <w:rFonts w:ascii="Arial" w:eastAsia="Arial Narrow" w:hAnsi="Arial" w:cs="Arial"/>
          <w:color w:val="000000"/>
        </w:rPr>
      </w:pPr>
    </w:p>
    <w:p w14:paraId="1CEA46A8" w14:textId="77777777" w:rsidR="00F218B3" w:rsidRPr="004C4F6D" w:rsidRDefault="00F218B3" w:rsidP="004C4F6D">
      <w:pPr>
        <w:numPr>
          <w:ilvl w:val="0"/>
          <w:numId w:val="9"/>
        </w:numPr>
        <w:spacing w:after="0" w:line="240" w:lineRule="auto"/>
        <w:ind w:left="1440" w:right="716"/>
        <w:jc w:val="both"/>
        <w:rPr>
          <w:rFonts w:ascii="Arial" w:eastAsia="Arial Narrow" w:hAnsi="Arial" w:cs="Arial"/>
          <w:i/>
          <w:color w:val="000000"/>
        </w:rPr>
      </w:pPr>
      <w:r w:rsidRPr="004C4F6D">
        <w:rPr>
          <w:rFonts w:ascii="Arial" w:eastAsia="Arial Narrow" w:hAnsi="Arial" w:cs="Arial"/>
          <w:i/>
          <w:color w:val="000000"/>
        </w:rPr>
        <w:t>The printed copy of the inventory list as of 30 September 2021, duly signed by the designated UCPB Property Accountable and Responsible Officer (PARO) and Unit Head, shall be provided to FMD on or before 31 December 2021 together with list of adjustment (i.e., new procurement, transfer and disposal) or certification of no change from October to December 2021.</w:t>
      </w:r>
    </w:p>
    <w:p w14:paraId="62A55E9D" w14:textId="77777777" w:rsidR="00F218B3" w:rsidRPr="004C4F6D" w:rsidRDefault="00F218B3" w:rsidP="004C4F6D">
      <w:pPr>
        <w:spacing w:after="0" w:line="240" w:lineRule="auto"/>
        <w:ind w:right="140"/>
        <w:jc w:val="both"/>
        <w:rPr>
          <w:rFonts w:ascii="Arial" w:eastAsia="Arial Narrow" w:hAnsi="Arial" w:cs="Arial"/>
          <w:i/>
          <w:color w:val="000000"/>
        </w:rPr>
      </w:pPr>
    </w:p>
    <w:p w14:paraId="7D2BA717" w14:textId="77777777" w:rsidR="00F218B3" w:rsidRPr="004C4F6D" w:rsidRDefault="00F218B3" w:rsidP="004C4F6D">
      <w:pPr>
        <w:spacing w:after="0" w:line="240" w:lineRule="auto"/>
        <w:ind w:left="1440" w:right="716"/>
        <w:jc w:val="both"/>
        <w:rPr>
          <w:rFonts w:ascii="Arial" w:eastAsia="Arial Narrow" w:hAnsi="Arial" w:cs="Arial"/>
          <w:color w:val="000000"/>
        </w:rPr>
      </w:pPr>
      <w:r w:rsidRPr="004C4F6D">
        <w:rPr>
          <w:rFonts w:ascii="Arial" w:eastAsia="Arial Narrow" w:hAnsi="Arial" w:cs="Arial"/>
          <w:i/>
          <w:color w:val="000000"/>
        </w:rPr>
        <w:t>b. The duly signed list/certification shall be accompanied by a copy of the updated inventory list in excel file format as of 31 December 2021.</w:t>
      </w:r>
    </w:p>
    <w:p w14:paraId="0EB61971" w14:textId="77777777" w:rsidR="00F218B3" w:rsidRPr="004C4F6D" w:rsidRDefault="00F218B3" w:rsidP="004C4F6D">
      <w:pPr>
        <w:spacing w:after="0" w:line="240" w:lineRule="auto"/>
        <w:ind w:left="1134"/>
        <w:jc w:val="both"/>
        <w:rPr>
          <w:rFonts w:ascii="Arial" w:eastAsia="Arial Narrow" w:hAnsi="Arial" w:cs="Arial"/>
          <w:i/>
          <w:color w:val="000000"/>
        </w:rPr>
      </w:pPr>
    </w:p>
    <w:p w14:paraId="7AFAAFBB" w14:textId="77777777" w:rsidR="00F218B3" w:rsidRPr="004C4F6D" w:rsidRDefault="00F218B3" w:rsidP="004C4F6D">
      <w:pPr>
        <w:spacing w:after="0" w:line="240" w:lineRule="auto"/>
        <w:ind w:left="1440"/>
        <w:jc w:val="both"/>
        <w:rPr>
          <w:rFonts w:ascii="Arial" w:eastAsia="Arial Narrow" w:hAnsi="Arial" w:cs="Arial"/>
          <w:i/>
          <w:color w:val="000000"/>
        </w:rPr>
      </w:pPr>
      <w:r w:rsidRPr="004C4F6D">
        <w:rPr>
          <w:rFonts w:ascii="Arial" w:eastAsia="Arial Narrow" w:hAnsi="Arial" w:cs="Arial"/>
          <w:i/>
          <w:color w:val="000000"/>
        </w:rPr>
        <w:lastRenderedPageBreak/>
        <w:t>X x x</w:t>
      </w:r>
    </w:p>
    <w:p w14:paraId="7E349529" w14:textId="77777777" w:rsidR="00F218B3" w:rsidRPr="004C4F6D" w:rsidRDefault="00F218B3" w:rsidP="004C4F6D">
      <w:pPr>
        <w:spacing w:after="0" w:line="240" w:lineRule="auto"/>
        <w:ind w:left="1134"/>
        <w:jc w:val="both"/>
        <w:rPr>
          <w:rFonts w:ascii="Arial" w:eastAsia="Arial Narrow" w:hAnsi="Arial" w:cs="Arial"/>
          <w:color w:val="000000"/>
        </w:rPr>
      </w:pPr>
    </w:p>
    <w:p w14:paraId="424B4C64" w14:textId="77777777" w:rsidR="00F218B3" w:rsidRPr="004C4F6D" w:rsidRDefault="00F218B3" w:rsidP="004C4F6D">
      <w:pPr>
        <w:spacing w:after="0" w:line="240" w:lineRule="auto"/>
        <w:ind w:left="720"/>
        <w:jc w:val="both"/>
        <w:rPr>
          <w:rFonts w:ascii="Arial" w:eastAsia="Arial Narrow" w:hAnsi="Arial" w:cs="Arial"/>
          <w:i/>
          <w:color w:val="000000"/>
        </w:rPr>
      </w:pPr>
      <w:r w:rsidRPr="004C4F6D">
        <w:rPr>
          <w:rFonts w:ascii="Arial" w:eastAsia="Arial Narrow" w:hAnsi="Arial" w:cs="Arial"/>
          <w:i/>
          <w:color w:val="000000"/>
        </w:rPr>
        <w:t xml:space="preserve">5. </w:t>
      </w:r>
      <w:r w:rsidRPr="004C4F6D">
        <w:rPr>
          <w:rFonts w:ascii="Arial" w:eastAsia="Arial Narrow" w:hAnsi="Arial" w:cs="Arial"/>
          <w:i/>
          <w:color w:val="000000"/>
        </w:rPr>
        <w:tab/>
        <w:t>Pre-validation of Fixed Assets</w:t>
      </w:r>
    </w:p>
    <w:p w14:paraId="5DBE73F7" w14:textId="77777777" w:rsidR="00F218B3" w:rsidRPr="004C4F6D" w:rsidRDefault="00F218B3" w:rsidP="004C4F6D">
      <w:pPr>
        <w:spacing w:after="0" w:line="240" w:lineRule="auto"/>
        <w:ind w:left="1134"/>
        <w:jc w:val="both"/>
        <w:rPr>
          <w:rFonts w:ascii="Arial" w:eastAsia="Arial Narrow" w:hAnsi="Arial" w:cs="Arial"/>
          <w:color w:val="000000"/>
        </w:rPr>
      </w:pPr>
    </w:p>
    <w:p w14:paraId="6E73AA30" w14:textId="77777777" w:rsidR="00F218B3" w:rsidRPr="004C4F6D" w:rsidRDefault="00F218B3" w:rsidP="004C4F6D">
      <w:pPr>
        <w:spacing w:after="0" w:line="240" w:lineRule="auto"/>
        <w:ind w:left="1440" w:right="716"/>
        <w:jc w:val="both"/>
        <w:rPr>
          <w:rFonts w:ascii="Arial" w:eastAsia="Arial Narrow" w:hAnsi="Arial" w:cs="Arial"/>
          <w:i/>
          <w:color w:val="000000"/>
        </w:rPr>
      </w:pPr>
      <w:r w:rsidRPr="004C4F6D">
        <w:rPr>
          <w:rFonts w:ascii="Arial" w:eastAsia="Arial Narrow" w:hAnsi="Arial" w:cs="Arial"/>
          <w:i/>
          <w:color w:val="000000"/>
        </w:rPr>
        <w:t>a. Starting on the 2nd week of January 2022, FMD (for HO)/PSO (for FUs) shall validate the existence of properties based on the updated inventory list. Any discrepancy shall be noted and coordinated with UCPB PARO.</w:t>
      </w:r>
    </w:p>
    <w:p w14:paraId="6654DD02" w14:textId="77777777" w:rsidR="00F218B3" w:rsidRPr="004C4F6D" w:rsidRDefault="00F218B3" w:rsidP="004C4F6D">
      <w:pPr>
        <w:spacing w:after="0" w:line="240" w:lineRule="auto"/>
        <w:ind w:left="1134"/>
        <w:jc w:val="both"/>
        <w:rPr>
          <w:rFonts w:ascii="Arial" w:eastAsia="Arial Narrow" w:hAnsi="Arial" w:cs="Arial"/>
          <w:color w:val="000000"/>
        </w:rPr>
      </w:pPr>
    </w:p>
    <w:p w14:paraId="60AF9361" w14:textId="77777777" w:rsidR="00F218B3" w:rsidRPr="004C4F6D" w:rsidRDefault="00F218B3" w:rsidP="004C4F6D">
      <w:pPr>
        <w:spacing w:after="0" w:line="240" w:lineRule="auto"/>
        <w:ind w:left="1440"/>
        <w:jc w:val="both"/>
        <w:rPr>
          <w:rFonts w:ascii="Arial" w:eastAsia="Arial Narrow" w:hAnsi="Arial" w:cs="Arial"/>
          <w:i/>
          <w:color w:val="000000"/>
        </w:rPr>
      </w:pPr>
      <w:r w:rsidRPr="004C4F6D">
        <w:rPr>
          <w:rFonts w:ascii="Arial" w:eastAsia="Arial Narrow" w:hAnsi="Arial" w:cs="Arial"/>
          <w:i/>
          <w:color w:val="000000"/>
        </w:rPr>
        <w:t>X x x</w:t>
      </w:r>
    </w:p>
    <w:p w14:paraId="4AB5E188" w14:textId="77777777" w:rsidR="00F218B3" w:rsidRPr="004C4F6D" w:rsidRDefault="00F218B3" w:rsidP="004C4F6D">
      <w:pPr>
        <w:spacing w:after="0" w:line="240" w:lineRule="auto"/>
        <w:ind w:left="1134"/>
        <w:jc w:val="both"/>
        <w:rPr>
          <w:rFonts w:ascii="Arial" w:eastAsia="Arial Narrow" w:hAnsi="Arial" w:cs="Arial"/>
          <w:color w:val="000000"/>
        </w:rPr>
      </w:pPr>
    </w:p>
    <w:p w14:paraId="3E99EA75" w14:textId="77777777" w:rsidR="00F218B3" w:rsidRPr="004C4F6D" w:rsidRDefault="00F218B3" w:rsidP="004C4F6D">
      <w:pPr>
        <w:spacing w:after="0" w:line="240" w:lineRule="auto"/>
        <w:ind w:left="720"/>
        <w:jc w:val="both"/>
        <w:rPr>
          <w:rFonts w:ascii="Arial" w:eastAsia="Arial Narrow" w:hAnsi="Arial" w:cs="Arial"/>
          <w:i/>
          <w:color w:val="000000"/>
        </w:rPr>
      </w:pPr>
      <w:r w:rsidRPr="004C4F6D">
        <w:rPr>
          <w:rFonts w:ascii="Arial" w:eastAsia="Arial Narrow" w:hAnsi="Arial" w:cs="Arial"/>
          <w:i/>
          <w:color w:val="000000"/>
        </w:rPr>
        <w:t>6.</w:t>
      </w:r>
      <w:r w:rsidRPr="004C4F6D">
        <w:rPr>
          <w:rFonts w:ascii="Arial" w:eastAsia="Arial Narrow" w:hAnsi="Arial" w:cs="Arial"/>
          <w:i/>
          <w:color w:val="000000"/>
        </w:rPr>
        <w:tab/>
        <w:t xml:space="preserve"> Inventory and Turn-Over of Fixed Assets</w:t>
      </w:r>
    </w:p>
    <w:p w14:paraId="31C4725B" w14:textId="77777777" w:rsidR="00F218B3" w:rsidRPr="004C4F6D" w:rsidRDefault="00F218B3" w:rsidP="004C4F6D">
      <w:pPr>
        <w:spacing w:after="0" w:line="240" w:lineRule="auto"/>
        <w:ind w:left="1134"/>
        <w:jc w:val="both"/>
        <w:rPr>
          <w:rFonts w:ascii="Arial" w:eastAsia="Arial Narrow" w:hAnsi="Arial" w:cs="Arial"/>
          <w:color w:val="000000"/>
        </w:rPr>
      </w:pPr>
    </w:p>
    <w:p w14:paraId="5863DD75" w14:textId="77777777" w:rsidR="00F218B3" w:rsidRPr="004C4F6D" w:rsidRDefault="00F218B3" w:rsidP="004C4F6D">
      <w:pPr>
        <w:spacing w:after="0" w:line="240" w:lineRule="auto"/>
        <w:ind w:left="1418" w:right="716"/>
        <w:jc w:val="both"/>
        <w:rPr>
          <w:rFonts w:ascii="Arial" w:eastAsia="Arial Narrow" w:hAnsi="Arial" w:cs="Arial"/>
          <w:color w:val="000000"/>
        </w:rPr>
      </w:pPr>
      <w:r w:rsidRPr="004C4F6D">
        <w:rPr>
          <w:rFonts w:ascii="Arial" w:eastAsia="Arial Narrow" w:hAnsi="Arial" w:cs="Arial"/>
          <w:i/>
          <w:color w:val="000000"/>
        </w:rPr>
        <w:t>a. A Masterlist of Documents and Records (Exhibit 1) shall be prepared as basis for the turnover and inventory-taking of UCPB’s documents and records. Turnover shall be performed before the merger.</w:t>
      </w:r>
    </w:p>
    <w:p w14:paraId="0A33A786" w14:textId="77777777" w:rsidR="00F218B3" w:rsidRPr="004C4F6D" w:rsidRDefault="00F218B3" w:rsidP="004C4F6D">
      <w:pPr>
        <w:spacing w:after="0" w:line="240" w:lineRule="auto"/>
        <w:ind w:left="1418" w:right="716"/>
        <w:jc w:val="both"/>
        <w:rPr>
          <w:rFonts w:ascii="Arial" w:eastAsia="Arial Narrow" w:hAnsi="Arial" w:cs="Arial"/>
          <w:color w:val="000000"/>
        </w:rPr>
      </w:pPr>
      <w:r w:rsidRPr="004C4F6D">
        <w:rPr>
          <w:rFonts w:ascii="Arial" w:eastAsia="Arial Narrow" w:hAnsi="Arial" w:cs="Arial"/>
          <w:i/>
          <w:color w:val="000000"/>
        </w:rPr>
        <w:t>b. The designated SD personnel shall be provided with a copy of list of adjustment/certification for reference during inventory/turn-over.</w:t>
      </w:r>
    </w:p>
    <w:p w14:paraId="7AAE873C" w14:textId="77777777" w:rsidR="00F218B3" w:rsidRPr="004C4F6D" w:rsidRDefault="00F218B3" w:rsidP="004C4F6D">
      <w:pPr>
        <w:spacing w:after="0" w:line="240" w:lineRule="auto"/>
        <w:ind w:left="1418" w:right="716"/>
        <w:jc w:val="both"/>
        <w:rPr>
          <w:rFonts w:ascii="Arial" w:eastAsia="Arial Narrow" w:hAnsi="Arial" w:cs="Arial"/>
          <w:color w:val="000000"/>
        </w:rPr>
      </w:pPr>
      <w:r w:rsidRPr="004C4F6D">
        <w:rPr>
          <w:rFonts w:ascii="Arial" w:eastAsia="Arial Narrow" w:hAnsi="Arial" w:cs="Arial"/>
          <w:i/>
          <w:color w:val="000000"/>
        </w:rPr>
        <w:t>c. All properties found at station but not included in the inventory lists as well as the missing properties shall be noted/documented for appropriate action of UCPB Property Accountable and Responsible Officer (PARO).</w:t>
      </w:r>
    </w:p>
    <w:p w14:paraId="1486F48C" w14:textId="77777777" w:rsidR="00F218B3" w:rsidRPr="004C4F6D" w:rsidRDefault="00F218B3" w:rsidP="004C4F6D">
      <w:pPr>
        <w:spacing w:after="0" w:line="240" w:lineRule="auto"/>
        <w:ind w:left="1418" w:right="716"/>
        <w:jc w:val="both"/>
        <w:rPr>
          <w:rFonts w:ascii="Arial" w:eastAsia="Arial Narrow" w:hAnsi="Arial" w:cs="Arial"/>
          <w:i/>
          <w:color w:val="000000"/>
        </w:rPr>
      </w:pPr>
      <w:r w:rsidRPr="004C4F6D">
        <w:rPr>
          <w:rFonts w:ascii="Arial" w:eastAsia="Arial Narrow" w:hAnsi="Arial" w:cs="Arial"/>
          <w:i/>
          <w:color w:val="000000"/>
        </w:rPr>
        <w:t>d. The physical count shall be documented in a standard Inventory count Form which shall be signed by UCPB PARO and FMD/PSO-FUs and SD personnel.</w:t>
      </w:r>
    </w:p>
    <w:p w14:paraId="18605A21" w14:textId="77777777" w:rsidR="00F218B3" w:rsidRPr="004C4F6D" w:rsidRDefault="00F218B3" w:rsidP="004C4F6D">
      <w:pPr>
        <w:spacing w:after="0" w:line="240" w:lineRule="auto"/>
        <w:ind w:left="1418"/>
        <w:jc w:val="both"/>
        <w:rPr>
          <w:rFonts w:ascii="Arial" w:eastAsia="Arial Narrow" w:hAnsi="Arial" w:cs="Arial"/>
          <w:color w:val="000000"/>
        </w:rPr>
      </w:pPr>
    </w:p>
    <w:p w14:paraId="436E7177" w14:textId="77777777" w:rsidR="00F218B3" w:rsidRPr="004C4F6D" w:rsidRDefault="00F218B3" w:rsidP="004C4F6D">
      <w:pPr>
        <w:spacing w:after="0" w:line="240" w:lineRule="auto"/>
        <w:ind w:left="1418"/>
        <w:jc w:val="both"/>
        <w:rPr>
          <w:rFonts w:ascii="Arial" w:eastAsia="Arial Narrow" w:hAnsi="Arial" w:cs="Arial"/>
          <w:i/>
          <w:color w:val="000000"/>
        </w:rPr>
      </w:pPr>
      <w:r w:rsidRPr="004C4F6D">
        <w:rPr>
          <w:rFonts w:ascii="Arial" w:eastAsia="Arial Narrow" w:hAnsi="Arial" w:cs="Arial"/>
          <w:i/>
          <w:color w:val="000000"/>
        </w:rPr>
        <w:t>X x x</w:t>
      </w:r>
    </w:p>
    <w:p w14:paraId="7F03B506" w14:textId="77777777" w:rsidR="00F218B3" w:rsidRPr="004C4F6D" w:rsidRDefault="00F218B3" w:rsidP="004C4F6D">
      <w:pPr>
        <w:spacing w:after="0" w:line="240" w:lineRule="auto"/>
        <w:ind w:left="1134"/>
        <w:jc w:val="both"/>
        <w:rPr>
          <w:rFonts w:ascii="Arial" w:eastAsia="Arial Narrow" w:hAnsi="Arial" w:cs="Arial"/>
          <w:color w:val="000000"/>
        </w:rPr>
      </w:pPr>
    </w:p>
    <w:p w14:paraId="4C449C5E" w14:textId="77777777"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 xml:space="preserve">Records show that UCPB Trial Balance accounts as of February 28, 2022 were were transferred on a batch basis to the counterpart units of LBP during the period March 2022 to March 2023. </w:t>
      </w:r>
    </w:p>
    <w:p w14:paraId="7F2F9F48"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color w:val="000000"/>
        </w:rPr>
      </w:pPr>
    </w:p>
    <w:p w14:paraId="60FE84E4" w14:textId="77777777"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 xml:space="preserve">The assigned booking unit on the fixed assets transfer to LBP Head Office is the LBP Administrative Accounting Department (AAD), while the custody of related titles and supporting documents of ownership, as well as its monitoring and safekeeping were assigned to the Facilities Management Department (FMD). In the field units, the Accounting Centers are the booking units while the respective field units/branches are responsible for the safekeeping and monitoring of said properties. </w:t>
      </w:r>
    </w:p>
    <w:p w14:paraId="1F3D02DC"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color w:val="000000"/>
        </w:rPr>
      </w:pPr>
    </w:p>
    <w:p w14:paraId="02A37835" w14:textId="62462531"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Copy of the results of reconciliation of the GL and SL accounts prior to the merger, including the list of discrepancies noted in the pre-merger activities pursuant to LBP EO No. 4 s. 2021</w:t>
      </w:r>
      <w:r w:rsidR="007C303C">
        <w:rPr>
          <w:rFonts w:ascii="Arial" w:eastAsia="Arial Narrow" w:hAnsi="Arial" w:cs="Arial"/>
          <w:color w:val="000000"/>
        </w:rPr>
        <w:t xml:space="preserve"> </w:t>
      </w:r>
      <w:r w:rsidRPr="004C4F6D">
        <w:rPr>
          <w:rFonts w:ascii="Arial" w:eastAsia="Arial Narrow" w:hAnsi="Arial" w:cs="Arial"/>
          <w:color w:val="000000"/>
        </w:rPr>
        <w:t xml:space="preserve">was not provided to the team. The Financial Accounting Department (FAD) </w:t>
      </w:r>
      <w:r w:rsidR="00181B8B" w:rsidRPr="004C4F6D">
        <w:rPr>
          <w:rFonts w:ascii="Arial" w:eastAsia="Arial Narrow" w:hAnsi="Arial" w:cs="Arial"/>
          <w:color w:val="000000"/>
        </w:rPr>
        <w:t>reasoned that</w:t>
      </w:r>
      <w:r w:rsidRPr="004C4F6D">
        <w:rPr>
          <w:rFonts w:ascii="Arial" w:eastAsia="Arial Narrow" w:hAnsi="Arial" w:cs="Arial"/>
          <w:color w:val="000000"/>
        </w:rPr>
        <w:t xml:space="preserve"> “Pre-merger reconciliation of GL and SL accounts and existence of SL items were performed by the absorbing units in coordination with the booking units”. FAD nor AAD could not provide the information on discrepancies between GL and SL balances, hence, the audit team could not verify the actual reconciliation of GL and SL balances made by the absorbing units.</w:t>
      </w:r>
    </w:p>
    <w:p w14:paraId="54474B44" w14:textId="77777777" w:rsidR="00F218B3" w:rsidRPr="004C4F6D" w:rsidRDefault="00F218B3" w:rsidP="004C4F6D">
      <w:pPr>
        <w:pStyle w:val="ListParagraph"/>
        <w:autoSpaceDE w:val="0"/>
        <w:autoSpaceDN w:val="0"/>
        <w:adjustRightInd w:val="0"/>
        <w:spacing w:after="0" w:line="240" w:lineRule="auto"/>
        <w:ind w:left="0"/>
        <w:jc w:val="both"/>
        <w:rPr>
          <w:rFonts w:ascii="Arial" w:hAnsi="Arial" w:cs="Arial"/>
        </w:rPr>
      </w:pPr>
    </w:p>
    <w:p w14:paraId="4E1F4A85" w14:textId="126832B0"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00000"/>
        </w:rPr>
        <w:t xml:space="preserve">The FMD alleged that the effectivity of merger on March 1, 2022 was sudden and unexpected hence the pre-validation of existence of fixed assets was not performed prior </w:t>
      </w:r>
      <w:r w:rsidRPr="004C4F6D">
        <w:rPr>
          <w:rFonts w:ascii="Arial" w:eastAsia="Arial Narrow" w:hAnsi="Arial" w:cs="Arial"/>
          <w:color w:val="000000"/>
        </w:rPr>
        <w:lastRenderedPageBreak/>
        <w:t>to its recognition in LBP books</w:t>
      </w:r>
      <w:r w:rsidR="008219E5" w:rsidRPr="004C4F6D">
        <w:rPr>
          <w:rFonts w:ascii="Arial" w:eastAsia="Arial Narrow" w:hAnsi="Arial" w:cs="Arial"/>
          <w:color w:val="000000"/>
        </w:rPr>
        <w:t xml:space="preserve"> </w:t>
      </w:r>
      <w:r w:rsidRPr="004C4F6D">
        <w:rPr>
          <w:rFonts w:ascii="Arial" w:eastAsia="Arial Narrow" w:hAnsi="Arial" w:cs="Arial"/>
          <w:color w:val="000000"/>
        </w:rPr>
        <w:t xml:space="preserve">on March 1, 2022. It was also informed that the validation of existence, turn over and inventory of Head Office fixed assets were conducted simultaneously starting February 2022 and was completed on April 13, 2022. </w:t>
      </w:r>
    </w:p>
    <w:p w14:paraId="217AA07E" w14:textId="77777777" w:rsidR="00F218B3" w:rsidRPr="004C4F6D" w:rsidRDefault="00F218B3" w:rsidP="004C4F6D">
      <w:pPr>
        <w:pStyle w:val="ListParagraph"/>
        <w:autoSpaceDE w:val="0"/>
        <w:autoSpaceDN w:val="0"/>
        <w:adjustRightInd w:val="0"/>
        <w:spacing w:after="0" w:line="240" w:lineRule="auto"/>
        <w:ind w:left="0"/>
        <w:jc w:val="both"/>
        <w:rPr>
          <w:rFonts w:ascii="Arial" w:hAnsi="Arial" w:cs="Arial"/>
        </w:rPr>
      </w:pPr>
    </w:p>
    <w:p w14:paraId="786BC2E2" w14:textId="6FB507A9"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00000"/>
        </w:rPr>
        <w:t xml:space="preserve">On the other hand, the inventory listing of UCPB fixed assets as of September 30, 2021 provided to the audit team was used as basis of inventory and validation conducted by the </w:t>
      </w:r>
      <w:r w:rsidR="00003494" w:rsidRPr="004C4F6D">
        <w:rPr>
          <w:rFonts w:ascii="Arial" w:eastAsia="Arial Narrow" w:hAnsi="Arial" w:cs="Arial"/>
          <w:bCs/>
          <w:color w:val="000000"/>
        </w:rPr>
        <w:t>Bank.</w:t>
      </w:r>
      <w:r w:rsidRPr="004C4F6D">
        <w:rPr>
          <w:rFonts w:ascii="Arial" w:eastAsia="Arial Narrow" w:hAnsi="Arial" w:cs="Arial"/>
          <w:color w:val="000000"/>
        </w:rPr>
        <w:t xml:space="preserve"> However, the requested copy of list of adjustments to the inventory as well as copies of certifications of no changes to the inventory from October to December </w:t>
      </w:r>
      <w:r w:rsidR="00003494" w:rsidRPr="004C4F6D">
        <w:rPr>
          <w:rFonts w:ascii="Arial" w:eastAsia="Arial Narrow" w:hAnsi="Arial" w:cs="Arial"/>
          <w:color w:val="000000"/>
        </w:rPr>
        <w:t>2021 were</w:t>
      </w:r>
      <w:r w:rsidRPr="004C4F6D">
        <w:rPr>
          <w:rFonts w:ascii="Arial" w:eastAsia="Arial Narrow" w:hAnsi="Arial" w:cs="Arial"/>
          <w:color w:val="000000"/>
        </w:rPr>
        <w:t xml:space="preserve"> not provided to the audit team by FMD. </w:t>
      </w:r>
    </w:p>
    <w:p w14:paraId="59205262" w14:textId="77777777" w:rsidR="00F218B3" w:rsidRPr="004C4F6D" w:rsidRDefault="00F218B3" w:rsidP="004C4F6D">
      <w:pPr>
        <w:pStyle w:val="ListParagraph"/>
        <w:rPr>
          <w:rFonts w:ascii="Arial" w:eastAsia="Arial Narrow" w:hAnsi="Arial" w:cs="Arial"/>
          <w:color w:val="000000"/>
        </w:rPr>
      </w:pPr>
    </w:p>
    <w:p w14:paraId="48056439" w14:textId="77777777"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00000"/>
        </w:rPr>
        <w:t xml:space="preserve">The results of validation by FMD, reported under the following schedules as of September 30, 2021, were transmitted to FAD-ATU, for appropriate action, through a memorandum dated April 27, 2022: </w:t>
      </w:r>
    </w:p>
    <w:p w14:paraId="11E2CAC2" w14:textId="77777777" w:rsidR="00F218B3" w:rsidRPr="004C4F6D" w:rsidRDefault="00F218B3" w:rsidP="004C4F6D">
      <w:pPr>
        <w:pStyle w:val="ListParagraph"/>
        <w:autoSpaceDE w:val="0"/>
        <w:autoSpaceDN w:val="0"/>
        <w:adjustRightInd w:val="0"/>
        <w:spacing w:after="0" w:line="240" w:lineRule="auto"/>
        <w:ind w:left="0"/>
        <w:jc w:val="both"/>
        <w:rPr>
          <w:rFonts w:ascii="Arial" w:hAnsi="Arial" w:cs="Arial"/>
        </w:rPr>
      </w:pPr>
    </w:p>
    <w:p w14:paraId="4489251B" w14:textId="77777777" w:rsidR="00F218B3" w:rsidRPr="004C4F6D" w:rsidRDefault="00F218B3" w:rsidP="004C4F6D">
      <w:pPr>
        <w:spacing w:after="0" w:line="240" w:lineRule="auto"/>
        <w:ind w:left="1134" w:hanging="425"/>
        <w:jc w:val="both"/>
        <w:rPr>
          <w:rFonts w:ascii="Arial" w:eastAsia="Arial Narrow" w:hAnsi="Arial" w:cs="Arial"/>
        </w:rPr>
      </w:pPr>
      <w:r w:rsidRPr="004C4F6D">
        <w:rPr>
          <w:rFonts w:ascii="Arial" w:eastAsia="Arial Narrow" w:hAnsi="Arial" w:cs="Arial"/>
          <w:color w:val="000000"/>
        </w:rPr>
        <w:t>(a)</w:t>
      </w:r>
      <w:r w:rsidRPr="004C4F6D">
        <w:rPr>
          <w:rFonts w:ascii="Arial" w:eastAsia="Arial Narrow" w:hAnsi="Arial" w:cs="Arial"/>
          <w:color w:val="000000"/>
        </w:rPr>
        <w:tab/>
        <w:t xml:space="preserve">Schedule of HO Fixed Assets – Equipment &amp; Vehicle turned over to FMD </w:t>
      </w:r>
      <w:r w:rsidRPr="004C4F6D">
        <w:rPr>
          <w:rFonts w:ascii="Arial" w:eastAsia="Arial Narrow" w:hAnsi="Arial" w:cs="Arial"/>
        </w:rPr>
        <w:t>(1,615 items with total acquisition cost of P81,750,942.89)</w:t>
      </w:r>
    </w:p>
    <w:p w14:paraId="5C61523A" w14:textId="77777777" w:rsidR="00F218B3" w:rsidRPr="004C4F6D" w:rsidRDefault="00F218B3" w:rsidP="004C4F6D">
      <w:pPr>
        <w:spacing w:after="0" w:line="240" w:lineRule="auto"/>
        <w:ind w:left="1134" w:hanging="425"/>
        <w:jc w:val="both"/>
        <w:rPr>
          <w:rFonts w:ascii="Arial" w:eastAsia="Arial Narrow" w:hAnsi="Arial" w:cs="Arial"/>
        </w:rPr>
      </w:pPr>
      <w:r w:rsidRPr="004C4F6D">
        <w:rPr>
          <w:rFonts w:ascii="Arial" w:eastAsia="Arial Narrow" w:hAnsi="Arial" w:cs="Arial"/>
        </w:rPr>
        <w:t>(b)</w:t>
      </w:r>
      <w:r w:rsidRPr="004C4F6D">
        <w:rPr>
          <w:rFonts w:ascii="Arial" w:eastAsia="Arial Narrow" w:hAnsi="Arial" w:cs="Arial"/>
        </w:rPr>
        <w:tab/>
        <w:t>Schedule of HO Fixed Assets Outside UCPB Building (Palm Tower &amp; Traveller’s Inn) turned over to FMD (78 items with total acquisition cost of P6,903,576.58)</w:t>
      </w:r>
    </w:p>
    <w:p w14:paraId="1C9C579C" w14:textId="77777777" w:rsidR="00F218B3" w:rsidRPr="004C4F6D" w:rsidRDefault="00F218B3" w:rsidP="004C4F6D">
      <w:pPr>
        <w:spacing w:after="0" w:line="240" w:lineRule="auto"/>
        <w:ind w:left="1134" w:right="7" w:hanging="425"/>
        <w:jc w:val="both"/>
        <w:rPr>
          <w:rFonts w:ascii="Arial" w:eastAsia="Arial Narrow" w:hAnsi="Arial" w:cs="Arial"/>
        </w:rPr>
      </w:pPr>
      <w:r w:rsidRPr="004C4F6D">
        <w:rPr>
          <w:rFonts w:ascii="Arial" w:eastAsia="Arial Narrow" w:hAnsi="Arial" w:cs="Arial"/>
        </w:rPr>
        <w:t>(c)</w:t>
      </w:r>
      <w:r w:rsidRPr="004C4F6D">
        <w:rPr>
          <w:rFonts w:ascii="Arial" w:eastAsia="Arial Narrow" w:hAnsi="Arial" w:cs="Arial"/>
        </w:rPr>
        <w:tab/>
        <w:t>Schedule of HO Unlocated Fixed Assets, 89 items with total acquisition cost of P40,983,334.25)</w:t>
      </w:r>
    </w:p>
    <w:p w14:paraId="34D9BBA9" w14:textId="77777777" w:rsidR="00F218B3" w:rsidRPr="004C4F6D" w:rsidRDefault="00F218B3" w:rsidP="004C4F6D">
      <w:pPr>
        <w:spacing w:after="0" w:line="240" w:lineRule="auto"/>
        <w:ind w:left="1134" w:right="7" w:hanging="425"/>
        <w:jc w:val="both"/>
        <w:rPr>
          <w:rFonts w:ascii="Arial" w:eastAsia="Arial Narrow" w:hAnsi="Arial" w:cs="Arial"/>
        </w:rPr>
      </w:pPr>
      <w:r w:rsidRPr="004C4F6D">
        <w:rPr>
          <w:rFonts w:ascii="Arial" w:eastAsia="Arial Narrow" w:hAnsi="Arial" w:cs="Arial"/>
        </w:rPr>
        <w:t>(d)</w:t>
      </w:r>
      <w:r w:rsidRPr="004C4F6D">
        <w:rPr>
          <w:rFonts w:ascii="Arial" w:eastAsia="Arial Narrow" w:hAnsi="Arial" w:cs="Arial"/>
        </w:rPr>
        <w:tab/>
        <w:t>Schedule of HO Vehicles (Under car lease/plan by UCPB Employees) Not Physically Accounted, 154 items with total acquisition cost of P112,634,224.12</w:t>
      </w:r>
    </w:p>
    <w:p w14:paraId="200120E2" w14:textId="77777777" w:rsidR="00F218B3" w:rsidRPr="004C4F6D" w:rsidRDefault="00F218B3" w:rsidP="004C4F6D">
      <w:pPr>
        <w:spacing w:after="0" w:line="240" w:lineRule="auto"/>
        <w:ind w:left="1134" w:right="7" w:hanging="414"/>
        <w:jc w:val="both"/>
        <w:rPr>
          <w:rFonts w:ascii="Arial" w:eastAsia="Arial Narrow" w:hAnsi="Arial" w:cs="Arial"/>
        </w:rPr>
      </w:pPr>
      <w:r w:rsidRPr="004C4F6D">
        <w:rPr>
          <w:rFonts w:ascii="Arial" w:eastAsia="Arial Narrow" w:hAnsi="Arial" w:cs="Arial"/>
        </w:rPr>
        <w:t>(e)</w:t>
      </w:r>
      <w:r w:rsidRPr="004C4F6D">
        <w:rPr>
          <w:rFonts w:ascii="Arial" w:eastAsia="Arial Narrow" w:hAnsi="Arial" w:cs="Arial"/>
        </w:rPr>
        <w:tab/>
        <w:t xml:space="preserve">Schedule of HO Fixed Assets  </w:t>
      </w:r>
      <w:r w:rsidRPr="004C4F6D">
        <w:rPr>
          <w:rFonts w:ascii="Arial" w:hAnsi="Arial" w:cs="Arial"/>
        </w:rPr>
        <w:t>– Equipment which existence were not validated (e.g. transferred to UCPB Branches, turned over to UCPB TMG) P116,070,297.54</w:t>
      </w:r>
    </w:p>
    <w:p w14:paraId="66573373" w14:textId="77777777" w:rsidR="00F218B3" w:rsidRPr="004C4F6D" w:rsidRDefault="00F218B3" w:rsidP="004C4F6D">
      <w:pPr>
        <w:spacing w:after="0" w:line="240" w:lineRule="auto"/>
        <w:ind w:left="1134" w:right="7" w:hanging="425"/>
        <w:jc w:val="both"/>
        <w:rPr>
          <w:rFonts w:ascii="Arial" w:hAnsi="Arial" w:cs="Arial"/>
        </w:rPr>
      </w:pPr>
    </w:p>
    <w:p w14:paraId="3A5DA934" w14:textId="6FA75465"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rPr>
        <w:t xml:space="preserve">However, FAD-ATU, </w:t>
      </w:r>
      <w:r w:rsidR="00003494" w:rsidRPr="004C4F6D">
        <w:rPr>
          <w:rFonts w:ascii="Arial" w:eastAsia="Arial Narrow" w:hAnsi="Arial" w:cs="Arial"/>
        </w:rPr>
        <w:t>denied responsibility for</w:t>
      </w:r>
      <w:r w:rsidRPr="004C4F6D">
        <w:rPr>
          <w:rFonts w:ascii="Arial" w:eastAsia="Arial Narrow" w:hAnsi="Arial" w:cs="Arial"/>
        </w:rPr>
        <w:t xml:space="preserve"> the recording of adjustments resulting from the validations made by the concerned booking units, thus, no action was made on the said memorandum. A follow-up letter dated September 5, 2022 was sent by FMD to FAD-ATU inquiring on the actions taken on the said schedules, particularly the items which were not located, not physically counted, and not validated as to their existence as presented under schedules c, d and e above. Despite the results of validation already reported by FMD, it was noted that the reconciliation of the GL and SL balances, and verification of SL balances by AAD, the booking unit, were not yet completed as of December 31, 2022 hence the reported location was not identified and the existence or non-existence of properties were not verified</w:t>
      </w:r>
      <w:r w:rsidR="00F04D28">
        <w:rPr>
          <w:rFonts w:ascii="Arial" w:eastAsia="Arial Narrow" w:hAnsi="Arial" w:cs="Arial"/>
        </w:rPr>
        <w:t>.</w:t>
      </w:r>
    </w:p>
    <w:p w14:paraId="36311558"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i/>
          <w:color w:val="000000"/>
          <w:u w:val="single"/>
        </w:rPr>
      </w:pPr>
    </w:p>
    <w:p w14:paraId="140CA890"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i/>
        </w:rPr>
      </w:pPr>
      <w:r w:rsidRPr="004C4F6D">
        <w:rPr>
          <w:rFonts w:ascii="Arial" w:eastAsia="Arial Narrow" w:hAnsi="Arial" w:cs="Arial"/>
          <w:b/>
          <w:bCs/>
          <w:i/>
        </w:rPr>
        <w:t>Location of IT Equipment, Furniture and Fixtures, Other Equipment and Transportation Equipment not completely verified</w:t>
      </w:r>
      <w:r w:rsidRPr="004C4F6D">
        <w:rPr>
          <w:rFonts w:ascii="Arial" w:eastAsia="Arial Narrow" w:hAnsi="Arial" w:cs="Arial"/>
          <w:i/>
        </w:rPr>
        <w:t xml:space="preserve"> </w:t>
      </w:r>
    </w:p>
    <w:p w14:paraId="44AB5CC0"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i/>
        </w:rPr>
      </w:pPr>
    </w:p>
    <w:p w14:paraId="7D1213AE" w14:textId="65597BA6" w:rsidR="00F218B3" w:rsidRPr="004C4F6D" w:rsidRDefault="00F218B3" w:rsidP="004C4F6D">
      <w:pPr>
        <w:pStyle w:val="ListParagraph"/>
        <w:numPr>
          <w:ilvl w:val="1"/>
          <w:numId w:val="4"/>
        </w:numPr>
        <w:autoSpaceDE w:val="0"/>
        <w:autoSpaceDN w:val="0"/>
        <w:adjustRightInd w:val="0"/>
        <w:spacing w:after="0" w:line="240" w:lineRule="auto"/>
        <w:ind w:left="0" w:firstLine="0"/>
        <w:jc w:val="both"/>
        <w:rPr>
          <w:rFonts w:ascii="Arial" w:eastAsia="Arial Narrow" w:hAnsi="Arial" w:cs="Arial"/>
          <w:bCs/>
          <w:iCs/>
          <w:lang w:val="en-US"/>
        </w:rPr>
      </w:pPr>
      <w:r w:rsidRPr="004C4F6D">
        <w:rPr>
          <w:rFonts w:ascii="Arial" w:eastAsia="Arial Narrow" w:hAnsi="Arial" w:cs="Arial"/>
        </w:rPr>
        <w:t xml:space="preserve">The Schedule of HO Unlocated Fixed </w:t>
      </w:r>
      <w:r w:rsidR="00003494" w:rsidRPr="004C4F6D">
        <w:rPr>
          <w:rFonts w:ascii="Arial" w:eastAsia="Arial Narrow" w:hAnsi="Arial" w:cs="Arial"/>
        </w:rPr>
        <w:t>Assets as</w:t>
      </w:r>
      <w:r w:rsidRPr="004C4F6D">
        <w:rPr>
          <w:rFonts w:ascii="Arial" w:eastAsia="Arial Narrow" w:hAnsi="Arial" w:cs="Arial"/>
        </w:rPr>
        <w:t xml:space="preserve"> presented in paragraph 3.9 (c) and (d), showed 89 items of IT Equipment (ITE), Other Equipment (OE) and one Furniture and Fixtures (FF) with total acquisition cost of P40,983,334.25 while the Schedule of HO Vehicles (Under Car lease/Plan by UCPB employees) Not Physically Accounted showed 154 items of Transportation Equipment (TE) with total acquisition cost of P112,634,224.12</w:t>
      </w:r>
      <w:r w:rsidRPr="004C4F6D">
        <w:rPr>
          <w:rFonts w:ascii="Arial" w:eastAsia="Arial Narrow" w:hAnsi="Arial" w:cs="Arial"/>
          <w:bCs/>
          <w:iCs/>
          <w:lang w:val="en-US"/>
        </w:rPr>
        <w:t>.</w:t>
      </w:r>
      <w:r w:rsidRPr="004C4F6D">
        <w:rPr>
          <w:rFonts w:ascii="Arial" w:eastAsia="Arial Narrow" w:hAnsi="Arial" w:cs="Arial"/>
        </w:rPr>
        <w:t xml:space="preserve"> </w:t>
      </w:r>
    </w:p>
    <w:p w14:paraId="3989E390" w14:textId="77777777" w:rsidR="00F218B3" w:rsidRPr="004C4F6D" w:rsidRDefault="00F218B3" w:rsidP="004C4F6D">
      <w:pPr>
        <w:pStyle w:val="ListParagraph"/>
        <w:autoSpaceDE w:val="0"/>
        <w:autoSpaceDN w:val="0"/>
        <w:adjustRightInd w:val="0"/>
        <w:spacing w:after="0" w:line="240" w:lineRule="auto"/>
        <w:jc w:val="both"/>
        <w:rPr>
          <w:rFonts w:ascii="Arial" w:eastAsia="Arial Narrow" w:hAnsi="Arial" w:cs="Arial"/>
          <w:bCs/>
          <w:iCs/>
          <w:lang w:val="en-US"/>
        </w:rPr>
      </w:pPr>
    </w:p>
    <w:p w14:paraId="79EBCDC5" w14:textId="38D99014" w:rsidR="00F218B3" w:rsidRPr="004C4F6D" w:rsidRDefault="00F218B3" w:rsidP="004C4F6D">
      <w:pPr>
        <w:pStyle w:val="NoSpacing"/>
        <w:jc w:val="both"/>
        <w:rPr>
          <w:rFonts w:ascii="Arial" w:eastAsia="Arial Narrow" w:hAnsi="Arial" w:cs="Arial"/>
          <w:bCs/>
          <w:iCs/>
          <w:lang w:val="en-US"/>
        </w:rPr>
      </w:pPr>
      <w:r w:rsidRPr="004C4F6D">
        <w:rPr>
          <w:rFonts w:ascii="Arial" w:eastAsia="Arial Narrow" w:hAnsi="Arial" w:cs="Arial"/>
        </w:rPr>
        <w:t xml:space="preserve">3.12 </w:t>
      </w:r>
      <w:r w:rsidRPr="004C4F6D">
        <w:rPr>
          <w:rFonts w:ascii="Arial" w:eastAsia="Arial Narrow" w:hAnsi="Arial" w:cs="Arial"/>
        </w:rPr>
        <w:tab/>
        <w:t xml:space="preserve">Verification of the year-end balances disclosed that 29 out of the 89 unlocated ITE, OE and FF remained unverified as to its location as of December 31, 2022. </w:t>
      </w:r>
      <w:r w:rsidRPr="004C4F6D">
        <w:rPr>
          <w:rFonts w:ascii="Arial" w:hAnsi="Arial" w:cs="Arial"/>
        </w:rPr>
        <w:t xml:space="preserve">These ITE, OE and FF were not found during the validation procedures performed by FMD from February to April 2022. The location of said properties were also neither confirmed/verified </w:t>
      </w:r>
      <w:r w:rsidRPr="004C4F6D">
        <w:rPr>
          <w:rFonts w:ascii="Arial" w:hAnsi="Arial" w:cs="Arial"/>
        </w:rPr>
        <w:lastRenderedPageBreak/>
        <w:t>by the FMD or the AAD as of December 31, 2022, nor AAD made any adjustments on the FS as of December 31, 2022 based on the Schedule of HO Unlocated Fixed Assets provided by the FMD</w:t>
      </w:r>
      <w:r w:rsidRPr="004C4F6D">
        <w:rPr>
          <w:rFonts w:ascii="Arial" w:hAnsi="Arial" w:cs="Arial"/>
          <w:lang w:val="en-US"/>
        </w:rPr>
        <w:t xml:space="preserve">. </w:t>
      </w:r>
      <w:r w:rsidRPr="004C4F6D">
        <w:rPr>
          <w:rFonts w:ascii="Arial" w:hAnsi="Arial" w:cs="Arial"/>
        </w:rPr>
        <w:t>The remaining 61 items individually costing below P</w:t>
      </w:r>
      <w:r w:rsidR="00003494" w:rsidRPr="004C4F6D">
        <w:rPr>
          <w:rFonts w:ascii="Arial" w:hAnsi="Arial" w:cs="Arial"/>
        </w:rPr>
        <w:t>50,000.00 amounting</w:t>
      </w:r>
      <w:r w:rsidRPr="004C4F6D">
        <w:rPr>
          <w:rFonts w:ascii="Arial" w:hAnsi="Arial" w:cs="Arial"/>
        </w:rPr>
        <w:t xml:space="preserve"> to P2,490,270.80, were reclassified from the BPFFE account to semi expendable assets in compliance with the new capitalization threshold of P50,000.00 and above.</w:t>
      </w:r>
    </w:p>
    <w:p w14:paraId="66420330" w14:textId="77777777" w:rsidR="00F218B3" w:rsidRPr="004C4F6D" w:rsidRDefault="00F218B3" w:rsidP="004C4F6D">
      <w:pPr>
        <w:pStyle w:val="NoSpacing"/>
        <w:jc w:val="both"/>
        <w:rPr>
          <w:rFonts w:ascii="Arial" w:eastAsia="Arial Narrow" w:hAnsi="Arial" w:cs="Arial"/>
        </w:rPr>
      </w:pPr>
    </w:p>
    <w:p w14:paraId="0D8135C3" w14:textId="3A8C2348" w:rsidR="00F218B3" w:rsidRPr="004C4F6D" w:rsidRDefault="00F218B3" w:rsidP="004C4F6D">
      <w:pPr>
        <w:pStyle w:val="NoSpacing"/>
        <w:jc w:val="both"/>
        <w:rPr>
          <w:rFonts w:ascii="Arial" w:eastAsia="Arial Narrow" w:hAnsi="Arial" w:cs="Arial"/>
        </w:rPr>
      </w:pPr>
      <w:r w:rsidRPr="004C4F6D">
        <w:rPr>
          <w:rFonts w:ascii="Arial" w:eastAsia="Arial Narrow" w:hAnsi="Arial" w:cs="Arial"/>
        </w:rPr>
        <w:t>3.13</w:t>
      </w:r>
      <w:r w:rsidRPr="004C4F6D">
        <w:rPr>
          <w:rFonts w:ascii="Arial" w:eastAsia="Arial Narrow" w:hAnsi="Arial" w:cs="Arial"/>
        </w:rPr>
        <w:tab/>
        <w:t xml:space="preserve">Likewise, the Blue Ridge Branch of NCR-North BBG </w:t>
      </w:r>
      <w:r w:rsidR="00003494" w:rsidRPr="004C4F6D">
        <w:rPr>
          <w:rFonts w:ascii="Arial" w:eastAsia="Arial Narrow" w:hAnsi="Arial" w:cs="Arial"/>
        </w:rPr>
        <w:t>reported unlocated two</w:t>
      </w:r>
      <w:r w:rsidRPr="004C4F6D">
        <w:rPr>
          <w:rFonts w:ascii="Arial" w:eastAsia="Arial Narrow" w:hAnsi="Arial" w:cs="Arial"/>
        </w:rPr>
        <w:t xml:space="preserve"> desktops and one burglar alarm system with acquisition cost totaling P193,232.50 as of December 31, 2022</w:t>
      </w:r>
      <w:r w:rsidRPr="004C4F6D">
        <w:rPr>
          <w:rFonts w:ascii="Arial" w:eastAsia="Arial Narrow" w:hAnsi="Arial" w:cs="Arial"/>
          <w:b/>
        </w:rPr>
        <w:t>.</w:t>
      </w:r>
      <w:r w:rsidRPr="004C4F6D">
        <w:rPr>
          <w:rFonts w:ascii="Arial" w:eastAsia="Arial Narrow" w:hAnsi="Arial" w:cs="Arial"/>
        </w:rPr>
        <w:t xml:space="preserve"> </w:t>
      </w:r>
    </w:p>
    <w:p w14:paraId="30F82DD7" w14:textId="77777777" w:rsidR="00F218B3" w:rsidRPr="004C4F6D" w:rsidRDefault="00F218B3" w:rsidP="004C4F6D">
      <w:pPr>
        <w:pStyle w:val="NoSpacing"/>
      </w:pPr>
    </w:p>
    <w:p w14:paraId="3C036D31" w14:textId="77777777" w:rsidR="00F218B3" w:rsidRPr="004C4F6D" w:rsidRDefault="00F218B3" w:rsidP="004C4F6D">
      <w:pPr>
        <w:autoSpaceDE w:val="0"/>
        <w:autoSpaceDN w:val="0"/>
        <w:adjustRightInd w:val="0"/>
        <w:spacing w:after="0" w:line="240" w:lineRule="auto"/>
        <w:jc w:val="both"/>
        <w:rPr>
          <w:rFonts w:ascii="Arial" w:eastAsia="Arial Narrow" w:hAnsi="Arial" w:cs="Arial"/>
        </w:rPr>
      </w:pPr>
      <w:r w:rsidRPr="004C4F6D">
        <w:rPr>
          <w:rFonts w:ascii="Arial" w:eastAsia="Arial Narrow" w:hAnsi="Arial" w:cs="Arial"/>
        </w:rPr>
        <w:t>3.14</w:t>
      </w:r>
      <w:r w:rsidRPr="004C4F6D">
        <w:rPr>
          <w:rFonts w:ascii="Arial" w:eastAsia="Arial Narrow" w:hAnsi="Arial" w:cs="Arial"/>
        </w:rPr>
        <w:tab/>
        <w:t>Moreover, in paragraph 3.9 (d) of the Schedule of HO Vehicles, locations of 8 out of the 154 vehicles, with total acquisition cost of P3,205,185.61, remained unverified as of December 31, 2022. Based on FMD’s validation, these vehicles were neither purchased by former UCPB employees nor verified sold during the merger</w:t>
      </w:r>
      <w:r w:rsidRPr="004C4F6D">
        <w:rPr>
          <w:rFonts w:ascii="Arial" w:eastAsia="Arial Narrow" w:hAnsi="Arial" w:cs="Arial"/>
          <w:bCs/>
          <w:iCs/>
          <w:lang w:val="en-US"/>
        </w:rPr>
        <w:t>.</w:t>
      </w:r>
    </w:p>
    <w:p w14:paraId="6A80D3B4" w14:textId="77777777" w:rsidR="00F218B3" w:rsidRPr="004C4F6D" w:rsidRDefault="00F218B3" w:rsidP="004C4F6D">
      <w:pPr>
        <w:autoSpaceDE w:val="0"/>
        <w:autoSpaceDN w:val="0"/>
        <w:adjustRightInd w:val="0"/>
        <w:spacing w:after="0" w:line="240" w:lineRule="auto"/>
        <w:jc w:val="both"/>
        <w:rPr>
          <w:rFonts w:ascii="Arial" w:eastAsia="Arial Narrow" w:hAnsi="Arial" w:cs="Arial"/>
        </w:rPr>
      </w:pPr>
    </w:p>
    <w:p w14:paraId="6B469799" w14:textId="77777777" w:rsidR="00F218B3" w:rsidRPr="004C4F6D" w:rsidRDefault="00F218B3" w:rsidP="004C4F6D">
      <w:pPr>
        <w:autoSpaceDE w:val="0"/>
        <w:autoSpaceDN w:val="0"/>
        <w:adjustRightInd w:val="0"/>
        <w:spacing w:after="0" w:line="240" w:lineRule="auto"/>
        <w:jc w:val="both"/>
        <w:rPr>
          <w:rFonts w:ascii="Arial" w:eastAsia="Arial Narrow" w:hAnsi="Arial" w:cs="Arial"/>
        </w:rPr>
      </w:pPr>
      <w:r w:rsidRPr="004C4F6D">
        <w:rPr>
          <w:rFonts w:ascii="Arial" w:eastAsia="Arial Narrow" w:hAnsi="Arial" w:cs="Arial"/>
        </w:rPr>
        <w:t>3.15</w:t>
      </w:r>
      <w:r w:rsidRPr="004C4F6D">
        <w:rPr>
          <w:rFonts w:ascii="Arial" w:eastAsia="Arial Narrow" w:hAnsi="Arial" w:cs="Arial"/>
        </w:rPr>
        <w:tab/>
        <w:t xml:space="preserve">It was also informed that the properties transferred to AAD included items which were not reconciled with the report on fixed assets as of December 31, 2022. The AAD has been coordinating with the absorbing units to facilitate the reconciliation of the physical assets. </w:t>
      </w:r>
    </w:p>
    <w:p w14:paraId="0E32C86A"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4D3F397D" w14:textId="77777777" w:rsidR="00F218B3" w:rsidRPr="00FA6C7D" w:rsidRDefault="00F218B3" w:rsidP="004C4F6D">
      <w:pPr>
        <w:pStyle w:val="ListParagraph"/>
        <w:autoSpaceDE w:val="0"/>
        <w:autoSpaceDN w:val="0"/>
        <w:adjustRightInd w:val="0"/>
        <w:spacing w:after="0" w:line="240" w:lineRule="auto"/>
        <w:ind w:left="0"/>
        <w:jc w:val="both"/>
        <w:rPr>
          <w:rFonts w:ascii="Arial" w:eastAsia="Arial Narrow" w:hAnsi="Arial" w:cs="Arial"/>
          <w:bCs/>
          <w:i/>
        </w:rPr>
      </w:pPr>
      <w:r w:rsidRPr="00FA6C7D">
        <w:rPr>
          <w:rFonts w:ascii="Arial" w:eastAsia="Arial Narrow" w:hAnsi="Arial" w:cs="Arial"/>
          <w:b/>
          <w:i/>
        </w:rPr>
        <w:t>Existence of IT Equipment, Furniture and Fixtures, Other Equipment not completely</w:t>
      </w:r>
      <w:r w:rsidRPr="00FA6C7D">
        <w:rPr>
          <w:rFonts w:ascii="Arial" w:eastAsia="Arial Narrow" w:hAnsi="Arial" w:cs="Arial"/>
          <w:bCs/>
          <w:i/>
        </w:rPr>
        <w:t xml:space="preserve"> </w:t>
      </w:r>
      <w:r w:rsidRPr="00FA6C7D">
        <w:rPr>
          <w:rFonts w:ascii="Arial" w:eastAsia="Arial Narrow" w:hAnsi="Arial" w:cs="Arial"/>
          <w:b/>
          <w:bCs/>
          <w:i/>
        </w:rPr>
        <w:t>verified</w:t>
      </w:r>
    </w:p>
    <w:p w14:paraId="0D8D45FB"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
          <w:iCs/>
        </w:rPr>
      </w:pPr>
    </w:p>
    <w:p w14:paraId="7FC2724A" w14:textId="7828EE4C" w:rsidR="00F218B3" w:rsidRPr="004C4F6D" w:rsidRDefault="00F218B3" w:rsidP="004C4F6D">
      <w:pPr>
        <w:pStyle w:val="ListParagraph"/>
        <w:numPr>
          <w:ilvl w:val="1"/>
          <w:numId w:val="37"/>
        </w:numPr>
        <w:autoSpaceDE w:val="0"/>
        <w:autoSpaceDN w:val="0"/>
        <w:adjustRightInd w:val="0"/>
        <w:spacing w:after="0" w:line="240" w:lineRule="auto"/>
        <w:ind w:left="0" w:firstLine="0"/>
        <w:jc w:val="both"/>
        <w:rPr>
          <w:rFonts w:ascii="Arial" w:eastAsia="Arial Narrow" w:hAnsi="Arial" w:cs="Arial"/>
          <w:bCs/>
          <w:iCs/>
          <w:lang w:val="en-US"/>
        </w:rPr>
      </w:pPr>
      <w:r w:rsidRPr="004C4F6D">
        <w:rPr>
          <w:rFonts w:ascii="Arial" w:eastAsia="Arial Narrow" w:hAnsi="Arial" w:cs="Arial"/>
        </w:rPr>
        <w:t xml:space="preserve">The Schedule of HO Fixed Assets – Equipment ATU prepared and submitted by FMD to FAD showed 1,359 items of ITE, OE and Furniture and FF with total acquisition cost of P145,394,474.42 </w:t>
      </w:r>
      <w:r w:rsidR="00003494" w:rsidRPr="004C4F6D">
        <w:rPr>
          <w:rFonts w:ascii="Arial" w:eastAsia="Arial Narrow" w:hAnsi="Arial" w:cs="Arial"/>
        </w:rPr>
        <w:t>existence</w:t>
      </w:r>
      <w:r w:rsidRPr="004C4F6D">
        <w:rPr>
          <w:rFonts w:ascii="Arial" w:eastAsia="Arial Narrow" w:hAnsi="Arial" w:cs="Arial"/>
        </w:rPr>
        <w:t xml:space="preserve"> of which</w:t>
      </w:r>
      <w:r w:rsidR="00003494" w:rsidRPr="004C4F6D">
        <w:rPr>
          <w:rFonts w:ascii="Arial" w:eastAsia="Arial Narrow" w:hAnsi="Arial" w:cs="Arial"/>
        </w:rPr>
        <w:t xml:space="preserve"> </w:t>
      </w:r>
      <w:r w:rsidRPr="004C4F6D">
        <w:rPr>
          <w:rFonts w:ascii="Arial" w:eastAsia="Arial Narrow" w:hAnsi="Arial" w:cs="Arial"/>
        </w:rPr>
        <w:t xml:space="preserve">(i.e. whether transferred to UCPB Branches, or turned over to UCPB TMG, or non-existing at all) were not validated. The properties were recorded in the UCPB Head Office but the actual physical location </w:t>
      </w:r>
      <w:r w:rsidR="00003494" w:rsidRPr="004C4F6D">
        <w:rPr>
          <w:rFonts w:ascii="Arial" w:eastAsia="Arial Narrow" w:hAnsi="Arial" w:cs="Arial"/>
        </w:rPr>
        <w:t>were alleged</w:t>
      </w:r>
      <w:r w:rsidRPr="004C4F6D">
        <w:rPr>
          <w:rFonts w:ascii="Arial" w:eastAsia="Arial Narrow" w:hAnsi="Arial" w:cs="Arial"/>
        </w:rPr>
        <w:t xml:space="preserve"> to be in the branches/field units. According to former UCPB employees, these properties were either being used by Head Office employees deployed in the field or being used by certain field offices. The </w:t>
      </w:r>
      <w:r w:rsidRPr="004C4F6D">
        <w:rPr>
          <w:rFonts w:ascii="Arial" w:hAnsi="Arial" w:cs="Arial"/>
        </w:rPr>
        <w:t>Schedule of Fixed Assets</w:t>
      </w:r>
      <w:r w:rsidRPr="004C4F6D" w:rsidDel="008F0EB8">
        <w:rPr>
          <w:rFonts w:ascii="Arial" w:eastAsia="Arial Narrow" w:hAnsi="Arial" w:cs="Arial"/>
        </w:rPr>
        <w:t xml:space="preserve"> </w:t>
      </w:r>
      <w:r w:rsidRPr="004C4F6D">
        <w:rPr>
          <w:rFonts w:ascii="Arial" w:eastAsia="Arial Narrow" w:hAnsi="Arial" w:cs="Arial"/>
        </w:rPr>
        <w:t>submitted by UCPB to FMD only indicated the department in the Head Office responsible for the property but not the actual physical locations. As of December 31, 2022, the LBP AAD was not able to confirm the existence of the 1,359 properties or whether these were already sold/disposed</w:t>
      </w:r>
      <w:r w:rsidRPr="004C4F6D">
        <w:rPr>
          <w:rFonts w:ascii="Arial" w:eastAsia="Arial Narrow" w:hAnsi="Arial" w:cs="Arial"/>
          <w:bCs/>
          <w:iCs/>
          <w:lang w:val="en-US"/>
        </w:rPr>
        <w:t>.</w:t>
      </w:r>
    </w:p>
    <w:p w14:paraId="61A7855B"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72B3D34A" w14:textId="59C3045B" w:rsidR="00F218B3" w:rsidRPr="004C4F6D" w:rsidRDefault="00F218B3" w:rsidP="004C4F6D">
      <w:pPr>
        <w:pStyle w:val="ListParagraph"/>
        <w:numPr>
          <w:ilvl w:val="1"/>
          <w:numId w:val="37"/>
        </w:numPr>
        <w:autoSpaceDE w:val="0"/>
        <w:autoSpaceDN w:val="0"/>
        <w:adjustRightInd w:val="0"/>
        <w:spacing w:after="0" w:line="240" w:lineRule="auto"/>
        <w:ind w:left="0" w:firstLine="0"/>
        <w:jc w:val="both"/>
        <w:rPr>
          <w:rFonts w:ascii="Arial" w:eastAsia="Arial Narrow" w:hAnsi="Arial" w:cs="Arial"/>
          <w:bCs/>
          <w:iCs/>
          <w:lang w:val="en-US"/>
        </w:rPr>
      </w:pPr>
      <w:r w:rsidRPr="004C4F6D">
        <w:rPr>
          <w:rFonts w:ascii="Arial" w:eastAsia="Arial Narrow" w:hAnsi="Arial" w:cs="Arial"/>
        </w:rPr>
        <w:t xml:space="preserve">The audit team’s verification of balances, and AAD’s subsequent validations showed that P114,070,297.54 out of the P145,394,474.42 initially reported asset, the existence of which were not yet validated as at April 2022, </w:t>
      </w:r>
      <w:r w:rsidR="00003494" w:rsidRPr="004C4F6D">
        <w:rPr>
          <w:rFonts w:ascii="Arial" w:eastAsia="Arial Narrow" w:hAnsi="Arial" w:cs="Arial"/>
        </w:rPr>
        <w:t>but are</w:t>
      </w:r>
      <w:r w:rsidRPr="004C4F6D">
        <w:rPr>
          <w:rFonts w:ascii="Arial" w:eastAsia="Arial Narrow" w:hAnsi="Arial" w:cs="Arial"/>
        </w:rPr>
        <w:t xml:space="preserve"> recognized in the books as bank property as of December 31, 2022. The details are as follows</w:t>
      </w:r>
      <w:r w:rsidRPr="004C4F6D">
        <w:rPr>
          <w:rFonts w:ascii="Arial" w:eastAsia="Arial Narrow" w:hAnsi="Arial" w:cs="Arial"/>
          <w:bCs/>
          <w:iCs/>
          <w:lang w:val="en-US"/>
        </w:rPr>
        <w:t>:</w:t>
      </w:r>
    </w:p>
    <w:p w14:paraId="77BDB8E9"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tbl>
      <w:tblPr>
        <w:tblW w:w="8658" w:type="dxa"/>
        <w:tblInd w:w="28" w:type="dxa"/>
        <w:tblLayout w:type="fixed"/>
        <w:tblLook w:val="04A0" w:firstRow="1" w:lastRow="0" w:firstColumn="1" w:lastColumn="0" w:noHBand="0" w:noVBand="1"/>
      </w:tblPr>
      <w:tblGrid>
        <w:gridCol w:w="2071"/>
        <w:gridCol w:w="2256"/>
        <w:gridCol w:w="2256"/>
        <w:gridCol w:w="2075"/>
      </w:tblGrid>
      <w:tr w:rsidR="00F218B3" w:rsidRPr="004C4F6D" w14:paraId="55185723" w14:textId="77777777" w:rsidTr="00FA0A7C">
        <w:trPr>
          <w:trHeight w:hRule="exact" w:val="586"/>
          <w:tblHeader/>
        </w:trPr>
        <w:tc>
          <w:tcPr>
            <w:tcW w:w="2071" w:type="dxa"/>
            <w:tcBorders>
              <w:top w:val="single" w:sz="4" w:space="0" w:color="auto"/>
              <w:bottom w:val="single" w:sz="4" w:space="0" w:color="auto"/>
            </w:tcBorders>
          </w:tcPr>
          <w:p w14:paraId="446BCCBD" w14:textId="77777777" w:rsidR="00F218B3" w:rsidRPr="004C4F6D" w:rsidRDefault="00F218B3" w:rsidP="004C4F6D">
            <w:pPr>
              <w:spacing w:after="0" w:line="240" w:lineRule="auto"/>
              <w:ind w:left="140" w:right="140" w:hanging="1"/>
              <w:jc w:val="center"/>
              <w:rPr>
                <w:rFonts w:ascii="Arial" w:eastAsia="Arial Narrow" w:hAnsi="Arial" w:cs="Arial"/>
                <w:b/>
                <w:sz w:val="20"/>
                <w:szCs w:val="20"/>
              </w:rPr>
            </w:pPr>
          </w:p>
          <w:p w14:paraId="769A3F81" w14:textId="77777777" w:rsidR="00F218B3" w:rsidRPr="004C4F6D" w:rsidRDefault="00F218B3" w:rsidP="004C4F6D">
            <w:pPr>
              <w:spacing w:after="0" w:line="240" w:lineRule="auto"/>
              <w:ind w:left="140" w:right="140" w:hanging="1"/>
              <w:jc w:val="center"/>
              <w:rPr>
                <w:rFonts w:ascii="Arial" w:eastAsia="Arial Narrow" w:hAnsi="Arial" w:cs="Arial"/>
                <w:sz w:val="20"/>
                <w:szCs w:val="20"/>
              </w:rPr>
            </w:pPr>
            <w:r w:rsidRPr="004C4F6D">
              <w:rPr>
                <w:rFonts w:ascii="Arial" w:eastAsia="Arial Narrow" w:hAnsi="Arial" w:cs="Arial"/>
                <w:b/>
                <w:sz w:val="20"/>
                <w:szCs w:val="20"/>
              </w:rPr>
              <w:t>Property</w:t>
            </w:r>
          </w:p>
        </w:tc>
        <w:tc>
          <w:tcPr>
            <w:tcW w:w="2256" w:type="dxa"/>
            <w:tcBorders>
              <w:top w:val="single" w:sz="4" w:space="0" w:color="auto"/>
              <w:bottom w:val="single" w:sz="4" w:space="0" w:color="auto"/>
            </w:tcBorders>
          </w:tcPr>
          <w:p w14:paraId="168337B2" w14:textId="77777777" w:rsidR="00F218B3" w:rsidRPr="004C4F6D" w:rsidRDefault="00F218B3" w:rsidP="004C4F6D">
            <w:pPr>
              <w:spacing w:after="0" w:line="240" w:lineRule="auto"/>
              <w:ind w:left="180" w:right="140"/>
              <w:jc w:val="center"/>
              <w:rPr>
                <w:rFonts w:ascii="Arial" w:eastAsia="Arial Narrow" w:hAnsi="Arial" w:cs="Arial"/>
                <w:b/>
                <w:sz w:val="20"/>
                <w:szCs w:val="20"/>
              </w:rPr>
            </w:pPr>
          </w:p>
          <w:p w14:paraId="42FC56A5" w14:textId="77777777" w:rsidR="00F218B3" w:rsidRPr="004C4F6D" w:rsidRDefault="00F218B3" w:rsidP="004C4F6D">
            <w:pPr>
              <w:spacing w:after="0" w:line="240" w:lineRule="auto"/>
              <w:ind w:left="180" w:right="140"/>
              <w:jc w:val="center"/>
              <w:rPr>
                <w:rFonts w:ascii="Arial" w:eastAsia="Arial Narrow" w:hAnsi="Arial" w:cs="Arial"/>
                <w:sz w:val="20"/>
                <w:szCs w:val="20"/>
              </w:rPr>
            </w:pPr>
            <w:r w:rsidRPr="004C4F6D">
              <w:rPr>
                <w:rFonts w:ascii="Arial" w:eastAsia="Arial Narrow" w:hAnsi="Arial" w:cs="Arial"/>
                <w:b/>
                <w:sz w:val="20"/>
                <w:szCs w:val="20"/>
              </w:rPr>
              <w:t>Cost</w:t>
            </w:r>
          </w:p>
        </w:tc>
        <w:tc>
          <w:tcPr>
            <w:tcW w:w="2256" w:type="dxa"/>
            <w:tcBorders>
              <w:top w:val="single" w:sz="4" w:space="0" w:color="auto"/>
              <w:bottom w:val="single" w:sz="4" w:space="0" w:color="auto"/>
            </w:tcBorders>
          </w:tcPr>
          <w:p w14:paraId="6594CD82" w14:textId="77777777" w:rsidR="00F218B3" w:rsidRPr="004C4F6D" w:rsidRDefault="00F218B3" w:rsidP="004C4F6D">
            <w:pPr>
              <w:spacing w:after="0" w:line="240" w:lineRule="auto"/>
              <w:ind w:left="171" w:right="43"/>
              <w:jc w:val="center"/>
              <w:rPr>
                <w:rFonts w:ascii="Arial" w:eastAsia="Arial Narrow" w:hAnsi="Arial" w:cs="Arial"/>
                <w:sz w:val="20"/>
                <w:szCs w:val="20"/>
              </w:rPr>
            </w:pPr>
            <w:r w:rsidRPr="004C4F6D">
              <w:rPr>
                <w:rFonts w:ascii="Arial" w:eastAsia="Arial Narrow" w:hAnsi="Arial" w:cs="Arial"/>
                <w:b/>
                <w:sz w:val="20"/>
                <w:szCs w:val="20"/>
              </w:rPr>
              <w:t>Accumulated Depreciation</w:t>
            </w:r>
          </w:p>
        </w:tc>
        <w:tc>
          <w:tcPr>
            <w:tcW w:w="2075" w:type="dxa"/>
            <w:tcBorders>
              <w:top w:val="single" w:sz="4" w:space="0" w:color="auto"/>
              <w:bottom w:val="single" w:sz="4" w:space="0" w:color="auto"/>
            </w:tcBorders>
          </w:tcPr>
          <w:p w14:paraId="189CDEB4" w14:textId="77777777" w:rsidR="00F218B3" w:rsidRPr="004C4F6D" w:rsidRDefault="00F218B3" w:rsidP="004C4F6D">
            <w:pPr>
              <w:spacing w:after="0" w:line="240" w:lineRule="auto"/>
              <w:ind w:left="169" w:right="140" w:firstLine="26"/>
              <w:jc w:val="center"/>
              <w:rPr>
                <w:rFonts w:ascii="Arial" w:eastAsia="Arial Narrow" w:hAnsi="Arial" w:cs="Arial"/>
                <w:sz w:val="20"/>
                <w:szCs w:val="20"/>
              </w:rPr>
            </w:pPr>
            <w:r w:rsidRPr="004C4F6D">
              <w:rPr>
                <w:rFonts w:ascii="Arial" w:eastAsia="Arial Narrow" w:hAnsi="Arial" w:cs="Arial"/>
                <w:b/>
                <w:sz w:val="20"/>
                <w:szCs w:val="20"/>
              </w:rPr>
              <w:t>Net Book Value as of 12/31/2022</w:t>
            </w:r>
          </w:p>
        </w:tc>
      </w:tr>
      <w:tr w:rsidR="00F218B3" w:rsidRPr="004C4F6D" w14:paraId="51649A32" w14:textId="77777777" w:rsidTr="00FA0A7C">
        <w:trPr>
          <w:trHeight w:hRule="exact" w:val="278"/>
        </w:trPr>
        <w:tc>
          <w:tcPr>
            <w:tcW w:w="2071" w:type="dxa"/>
            <w:tcBorders>
              <w:top w:val="single" w:sz="4" w:space="0" w:color="auto"/>
            </w:tcBorders>
          </w:tcPr>
          <w:p w14:paraId="21D3B8F3" w14:textId="77777777" w:rsidR="00F218B3" w:rsidRPr="004C4F6D" w:rsidRDefault="00F218B3" w:rsidP="004C4F6D">
            <w:pPr>
              <w:spacing w:after="0" w:line="240" w:lineRule="auto"/>
              <w:ind w:left="140" w:right="140" w:hanging="1"/>
              <w:rPr>
                <w:rFonts w:ascii="Arial" w:eastAsia="Arial Narrow" w:hAnsi="Arial" w:cs="Arial"/>
                <w:sz w:val="20"/>
                <w:szCs w:val="20"/>
              </w:rPr>
            </w:pPr>
            <w:r w:rsidRPr="004C4F6D">
              <w:rPr>
                <w:rFonts w:ascii="Arial" w:eastAsia="Arial Narrow" w:hAnsi="Arial" w:cs="Arial"/>
                <w:sz w:val="20"/>
                <w:szCs w:val="20"/>
              </w:rPr>
              <w:t>IT Equipment</w:t>
            </w:r>
          </w:p>
        </w:tc>
        <w:tc>
          <w:tcPr>
            <w:tcW w:w="2256" w:type="dxa"/>
            <w:tcBorders>
              <w:top w:val="single" w:sz="4" w:space="0" w:color="auto"/>
            </w:tcBorders>
          </w:tcPr>
          <w:p w14:paraId="526B16F2" w14:textId="77777777" w:rsidR="00F218B3" w:rsidRPr="004C4F6D" w:rsidRDefault="00F218B3" w:rsidP="004C4F6D">
            <w:pPr>
              <w:spacing w:after="0" w:line="240" w:lineRule="auto"/>
              <w:ind w:left="180"/>
              <w:jc w:val="right"/>
              <w:rPr>
                <w:rFonts w:ascii="Arial" w:eastAsia="Arial Narrow" w:hAnsi="Arial" w:cs="Arial"/>
                <w:sz w:val="20"/>
                <w:szCs w:val="20"/>
              </w:rPr>
            </w:pPr>
            <w:r w:rsidRPr="004C4F6D">
              <w:rPr>
                <w:rFonts w:ascii="Arial" w:eastAsia="Arial Narrow" w:hAnsi="Arial" w:cs="Arial"/>
                <w:sz w:val="20"/>
                <w:szCs w:val="20"/>
              </w:rPr>
              <w:t>62,637,979.20</w:t>
            </w:r>
          </w:p>
        </w:tc>
        <w:tc>
          <w:tcPr>
            <w:tcW w:w="2256" w:type="dxa"/>
            <w:tcBorders>
              <w:top w:val="single" w:sz="4" w:space="0" w:color="auto"/>
            </w:tcBorders>
          </w:tcPr>
          <w:p w14:paraId="715C257E" w14:textId="77777777" w:rsidR="00F218B3" w:rsidRPr="004C4F6D" w:rsidRDefault="00F218B3" w:rsidP="004C4F6D">
            <w:pPr>
              <w:spacing w:after="0" w:line="240" w:lineRule="auto"/>
              <w:ind w:left="621" w:right="43" w:hanging="426"/>
              <w:jc w:val="right"/>
              <w:rPr>
                <w:rFonts w:ascii="Arial" w:eastAsia="Arial Narrow" w:hAnsi="Arial" w:cs="Arial"/>
                <w:sz w:val="20"/>
                <w:szCs w:val="20"/>
              </w:rPr>
            </w:pPr>
            <w:r w:rsidRPr="004C4F6D">
              <w:rPr>
                <w:rFonts w:ascii="Arial" w:eastAsia="Arial Narrow" w:hAnsi="Arial" w:cs="Arial"/>
                <w:sz w:val="20"/>
                <w:szCs w:val="20"/>
              </w:rPr>
              <w:t>44,345,860.20</w:t>
            </w:r>
          </w:p>
        </w:tc>
        <w:tc>
          <w:tcPr>
            <w:tcW w:w="2075" w:type="dxa"/>
            <w:tcBorders>
              <w:top w:val="single" w:sz="4" w:space="0" w:color="auto"/>
            </w:tcBorders>
          </w:tcPr>
          <w:p w14:paraId="77173BF8" w14:textId="77777777" w:rsidR="00F218B3" w:rsidRPr="004C4F6D" w:rsidRDefault="00F218B3" w:rsidP="004C4F6D">
            <w:pPr>
              <w:spacing w:after="0" w:line="240" w:lineRule="auto"/>
              <w:ind w:left="621" w:right="140" w:hanging="426"/>
              <w:jc w:val="right"/>
              <w:rPr>
                <w:rFonts w:ascii="Arial" w:eastAsia="Arial Narrow" w:hAnsi="Arial" w:cs="Arial"/>
                <w:sz w:val="20"/>
                <w:szCs w:val="20"/>
              </w:rPr>
            </w:pPr>
            <w:r w:rsidRPr="004C4F6D">
              <w:rPr>
                <w:rFonts w:ascii="Arial" w:eastAsia="Arial Narrow" w:hAnsi="Arial" w:cs="Arial"/>
                <w:sz w:val="20"/>
                <w:szCs w:val="20"/>
              </w:rPr>
              <w:t>18,292,119.00</w:t>
            </w:r>
          </w:p>
        </w:tc>
      </w:tr>
      <w:tr w:rsidR="00F218B3" w:rsidRPr="004C4F6D" w14:paraId="6E7DCB38" w14:textId="77777777" w:rsidTr="00FA0A7C">
        <w:trPr>
          <w:trHeight w:hRule="exact" w:val="506"/>
        </w:trPr>
        <w:tc>
          <w:tcPr>
            <w:tcW w:w="2071" w:type="dxa"/>
          </w:tcPr>
          <w:p w14:paraId="1B7C48CF" w14:textId="77777777" w:rsidR="00F218B3" w:rsidRPr="004C4F6D" w:rsidRDefault="00F218B3" w:rsidP="004C4F6D">
            <w:pPr>
              <w:spacing w:after="0" w:line="240" w:lineRule="auto"/>
              <w:ind w:left="140" w:right="140" w:hanging="1"/>
              <w:rPr>
                <w:rFonts w:ascii="Arial" w:eastAsia="Arial Narrow" w:hAnsi="Arial" w:cs="Arial"/>
                <w:sz w:val="20"/>
                <w:szCs w:val="20"/>
              </w:rPr>
            </w:pPr>
            <w:r w:rsidRPr="004C4F6D">
              <w:rPr>
                <w:rFonts w:ascii="Arial" w:eastAsia="Arial Narrow" w:hAnsi="Arial" w:cs="Arial"/>
                <w:sz w:val="20"/>
                <w:szCs w:val="20"/>
              </w:rPr>
              <w:t>Furniture and Fixtures</w:t>
            </w:r>
          </w:p>
        </w:tc>
        <w:tc>
          <w:tcPr>
            <w:tcW w:w="2256" w:type="dxa"/>
          </w:tcPr>
          <w:p w14:paraId="0A01DC1C" w14:textId="77777777" w:rsidR="00F218B3" w:rsidRPr="004C4F6D" w:rsidRDefault="00F218B3" w:rsidP="004C4F6D">
            <w:pPr>
              <w:spacing w:after="0" w:line="240" w:lineRule="auto"/>
              <w:ind w:left="180"/>
              <w:jc w:val="right"/>
              <w:rPr>
                <w:rFonts w:ascii="Arial" w:eastAsia="Arial Narrow" w:hAnsi="Arial" w:cs="Arial"/>
                <w:sz w:val="20"/>
                <w:szCs w:val="20"/>
              </w:rPr>
            </w:pPr>
          </w:p>
          <w:p w14:paraId="0465C66A" w14:textId="77777777" w:rsidR="00F218B3" w:rsidRPr="004C4F6D" w:rsidRDefault="00F218B3" w:rsidP="004C4F6D">
            <w:pPr>
              <w:spacing w:after="0" w:line="240" w:lineRule="auto"/>
              <w:ind w:left="180"/>
              <w:jc w:val="right"/>
              <w:rPr>
                <w:rFonts w:ascii="Arial" w:eastAsia="Arial Narrow" w:hAnsi="Arial" w:cs="Arial"/>
                <w:sz w:val="20"/>
                <w:szCs w:val="20"/>
              </w:rPr>
            </w:pPr>
            <w:r w:rsidRPr="004C4F6D">
              <w:rPr>
                <w:rFonts w:ascii="Arial" w:eastAsia="Arial Narrow" w:hAnsi="Arial" w:cs="Arial"/>
                <w:sz w:val="20"/>
                <w:szCs w:val="20"/>
              </w:rPr>
              <w:t>50,589.94</w:t>
            </w:r>
          </w:p>
        </w:tc>
        <w:tc>
          <w:tcPr>
            <w:tcW w:w="2256" w:type="dxa"/>
          </w:tcPr>
          <w:p w14:paraId="4F797260" w14:textId="77777777" w:rsidR="00F218B3" w:rsidRPr="004C4F6D" w:rsidRDefault="00F218B3" w:rsidP="004C4F6D">
            <w:pPr>
              <w:spacing w:after="0" w:line="240" w:lineRule="auto"/>
              <w:ind w:left="621" w:right="43" w:hanging="426"/>
              <w:jc w:val="right"/>
              <w:rPr>
                <w:rFonts w:ascii="Arial" w:eastAsia="Arial Narrow" w:hAnsi="Arial" w:cs="Arial"/>
                <w:sz w:val="20"/>
                <w:szCs w:val="20"/>
              </w:rPr>
            </w:pPr>
          </w:p>
          <w:p w14:paraId="0125AA9D" w14:textId="77777777" w:rsidR="00F218B3" w:rsidRPr="004C4F6D" w:rsidRDefault="00F218B3" w:rsidP="004C4F6D">
            <w:pPr>
              <w:spacing w:after="0" w:line="240" w:lineRule="auto"/>
              <w:ind w:left="621" w:right="43" w:hanging="426"/>
              <w:jc w:val="right"/>
              <w:rPr>
                <w:rFonts w:ascii="Arial" w:eastAsia="Arial Narrow" w:hAnsi="Arial" w:cs="Arial"/>
                <w:sz w:val="20"/>
                <w:szCs w:val="20"/>
              </w:rPr>
            </w:pPr>
            <w:r w:rsidRPr="004C4F6D">
              <w:rPr>
                <w:rFonts w:ascii="Arial" w:eastAsia="Arial Narrow" w:hAnsi="Arial" w:cs="Arial"/>
                <w:sz w:val="20"/>
                <w:szCs w:val="20"/>
              </w:rPr>
              <w:t>50,588.94</w:t>
            </w:r>
          </w:p>
        </w:tc>
        <w:tc>
          <w:tcPr>
            <w:tcW w:w="2075" w:type="dxa"/>
          </w:tcPr>
          <w:p w14:paraId="1D0F056E" w14:textId="77777777" w:rsidR="00F218B3" w:rsidRPr="004C4F6D" w:rsidRDefault="00F218B3" w:rsidP="004C4F6D">
            <w:pPr>
              <w:spacing w:after="0" w:line="240" w:lineRule="auto"/>
              <w:ind w:left="621" w:right="140" w:hanging="426"/>
              <w:jc w:val="right"/>
              <w:rPr>
                <w:rFonts w:ascii="Arial" w:eastAsia="Arial Narrow" w:hAnsi="Arial" w:cs="Arial"/>
                <w:sz w:val="20"/>
                <w:szCs w:val="20"/>
              </w:rPr>
            </w:pPr>
            <w:r w:rsidRPr="004C4F6D">
              <w:rPr>
                <w:rFonts w:ascii="Arial" w:eastAsia="Arial Narrow" w:hAnsi="Arial" w:cs="Arial"/>
                <w:sz w:val="20"/>
                <w:szCs w:val="20"/>
              </w:rPr>
              <w:t xml:space="preserve"> </w:t>
            </w:r>
          </w:p>
          <w:p w14:paraId="64500FDF" w14:textId="77777777" w:rsidR="00F218B3" w:rsidRPr="004C4F6D" w:rsidRDefault="00F218B3" w:rsidP="004C4F6D">
            <w:pPr>
              <w:spacing w:after="0" w:line="240" w:lineRule="auto"/>
              <w:ind w:left="621" w:right="140" w:hanging="426"/>
              <w:jc w:val="right"/>
              <w:rPr>
                <w:rFonts w:ascii="Arial" w:eastAsia="Arial Narrow" w:hAnsi="Arial" w:cs="Arial"/>
                <w:sz w:val="20"/>
                <w:szCs w:val="20"/>
              </w:rPr>
            </w:pPr>
            <w:r w:rsidRPr="004C4F6D">
              <w:rPr>
                <w:rFonts w:ascii="Arial" w:eastAsia="Arial Narrow" w:hAnsi="Arial" w:cs="Arial"/>
                <w:sz w:val="20"/>
                <w:szCs w:val="20"/>
              </w:rPr>
              <w:t xml:space="preserve">  1.00</w:t>
            </w:r>
          </w:p>
        </w:tc>
      </w:tr>
      <w:tr w:rsidR="00F218B3" w:rsidRPr="004C4F6D" w14:paraId="57C06FC0" w14:textId="77777777" w:rsidTr="00FA0A7C">
        <w:trPr>
          <w:trHeight w:hRule="exact" w:val="463"/>
        </w:trPr>
        <w:tc>
          <w:tcPr>
            <w:tcW w:w="2071" w:type="dxa"/>
            <w:tcBorders>
              <w:bottom w:val="single" w:sz="4" w:space="0" w:color="auto"/>
            </w:tcBorders>
            <w:vAlign w:val="bottom"/>
          </w:tcPr>
          <w:p w14:paraId="6AEA0666" w14:textId="77777777" w:rsidR="00F218B3" w:rsidRPr="004C4F6D" w:rsidRDefault="00F218B3" w:rsidP="004C4F6D">
            <w:pPr>
              <w:spacing w:after="0" w:line="240" w:lineRule="auto"/>
              <w:ind w:left="140" w:right="140" w:hanging="1"/>
              <w:rPr>
                <w:rFonts w:ascii="Arial" w:eastAsia="Arial Narrow" w:hAnsi="Arial" w:cs="Arial"/>
                <w:sz w:val="20"/>
                <w:szCs w:val="20"/>
              </w:rPr>
            </w:pPr>
            <w:r w:rsidRPr="004C4F6D">
              <w:rPr>
                <w:rFonts w:ascii="Arial" w:eastAsia="Arial Narrow" w:hAnsi="Arial" w:cs="Arial"/>
                <w:sz w:val="20"/>
                <w:szCs w:val="20"/>
              </w:rPr>
              <w:t>Other Office Equipment</w:t>
            </w:r>
          </w:p>
        </w:tc>
        <w:tc>
          <w:tcPr>
            <w:tcW w:w="2256" w:type="dxa"/>
            <w:tcBorders>
              <w:bottom w:val="single" w:sz="4" w:space="0" w:color="auto"/>
            </w:tcBorders>
            <w:vAlign w:val="bottom"/>
          </w:tcPr>
          <w:p w14:paraId="2F0455FD" w14:textId="77777777" w:rsidR="00F218B3" w:rsidRPr="004C4F6D" w:rsidRDefault="00F218B3" w:rsidP="004C4F6D">
            <w:pPr>
              <w:spacing w:after="0" w:line="240" w:lineRule="auto"/>
              <w:ind w:left="180"/>
              <w:jc w:val="right"/>
              <w:rPr>
                <w:rFonts w:ascii="Arial" w:eastAsia="Arial Narrow" w:hAnsi="Arial" w:cs="Arial"/>
                <w:sz w:val="20"/>
                <w:szCs w:val="20"/>
              </w:rPr>
            </w:pPr>
            <w:r w:rsidRPr="004C4F6D">
              <w:rPr>
                <w:rFonts w:ascii="Arial" w:eastAsia="Arial Narrow" w:hAnsi="Arial" w:cs="Arial"/>
                <w:sz w:val="20"/>
                <w:szCs w:val="20"/>
              </w:rPr>
              <w:t>52,294,248.40</w:t>
            </w:r>
          </w:p>
        </w:tc>
        <w:tc>
          <w:tcPr>
            <w:tcW w:w="2256" w:type="dxa"/>
            <w:tcBorders>
              <w:bottom w:val="single" w:sz="4" w:space="0" w:color="auto"/>
            </w:tcBorders>
            <w:vAlign w:val="bottom"/>
          </w:tcPr>
          <w:p w14:paraId="5463AA25" w14:textId="77777777" w:rsidR="00F218B3" w:rsidRPr="004C4F6D" w:rsidRDefault="00F218B3" w:rsidP="004C4F6D">
            <w:pPr>
              <w:spacing w:after="0" w:line="240" w:lineRule="auto"/>
              <w:ind w:left="621" w:right="43" w:hanging="426"/>
              <w:jc w:val="right"/>
              <w:rPr>
                <w:rFonts w:ascii="Arial" w:eastAsia="Arial Narrow" w:hAnsi="Arial" w:cs="Arial"/>
                <w:sz w:val="20"/>
                <w:szCs w:val="20"/>
              </w:rPr>
            </w:pPr>
            <w:r w:rsidRPr="004C4F6D">
              <w:rPr>
                <w:rFonts w:ascii="Arial" w:eastAsia="Arial Narrow" w:hAnsi="Arial" w:cs="Arial"/>
                <w:sz w:val="20"/>
                <w:szCs w:val="20"/>
              </w:rPr>
              <w:t>49,549,693.40</w:t>
            </w:r>
          </w:p>
        </w:tc>
        <w:tc>
          <w:tcPr>
            <w:tcW w:w="2075" w:type="dxa"/>
            <w:tcBorders>
              <w:bottom w:val="single" w:sz="4" w:space="0" w:color="auto"/>
            </w:tcBorders>
            <w:vAlign w:val="bottom"/>
          </w:tcPr>
          <w:p w14:paraId="0E83221D" w14:textId="77777777" w:rsidR="00F218B3" w:rsidRPr="004C4F6D" w:rsidRDefault="00F218B3" w:rsidP="004C4F6D">
            <w:pPr>
              <w:spacing w:after="0" w:line="240" w:lineRule="auto"/>
              <w:ind w:left="621" w:right="140" w:hanging="426"/>
              <w:jc w:val="right"/>
              <w:rPr>
                <w:rFonts w:ascii="Arial" w:eastAsia="Arial Narrow" w:hAnsi="Arial" w:cs="Arial"/>
                <w:sz w:val="20"/>
                <w:szCs w:val="20"/>
              </w:rPr>
            </w:pPr>
            <w:r w:rsidRPr="004C4F6D">
              <w:rPr>
                <w:rFonts w:ascii="Arial" w:eastAsia="Arial Narrow" w:hAnsi="Arial" w:cs="Arial"/>
                <w:sz w:val="20"/>
                <w:szCs w:val="20"/>
              </w:rPr>
              <w:t>2,744,555.00</w:t>
            </w:r>
          </w:p>
        </w:tc>
      </w:tr>
      <w:tr w:rsidR="00F218B3" w:rsidRPr="004C4F6D" w14:paraId="4262535C" w14:textId="77777777" w:rsidTr="00FA0A7C">
        <w:trPr>
          <w:trHeight w:hRule="exact" w:val="277"/>
        </w:trPr>
        <w:tc>
          <w:tcPr>
            <w:tcW w:w="2071" w:type="dxa"/>
            <w:tcBorders>
              <w:top w:val="single" w:sz="4" w:space="0" w:color="auto"/>
              <w:bottom w:val="double" w:sz="4" w:space="0" w:color="auto"/>
            </w:tcBorders>
            <w:vAlign w:val="bottom"/>
          </w:tcPr>
          <w:p w14:paraId="0C8C01F4" w14:textId="77777777" w:rsidR="00F218B3" w:rsidRPr="004C4F6D" w:rsidRDefault="00F218B3" w:rsidP="004C4F6D">
            <w:pPr>
              <w:spacing w:after="0" w:line="240" w:lineRule="auto"/>
              <w:ind w:left="140" w:right="140" w:hanging="1"/>
              <w:rPr>
                <w:rFonts w:ascii="Arial" w:eastAsia="Arial Narrow" w:hAnsi="Arial" w:cs="Arial"/>
                <w:sz w:val="20"/>
                <w:szCs w:val="20"/>
              </w:rPr>
            </w:pPr>
            <w:r w:rsidRPr="004C4F6D">
              <w:rPr>
                <w:rFonts w:ascii="Arial" w:eastAsia="Arial Narrow" w:hAnsi="Arial" w:cs="Arial"/>
                <w:b/>
                <w:sz w:val="20"/>
                <w:szCs w:val="20"/>
              </w:rPr>
              <w:t>Total</w:t>
            </w:r>
          </w:p>
        </w:tc>
        <w:tc>
          <w:tcPr>
            <w:tcW w:w="2256" w:type="dxa"/>
            <w:tcBorders>
              <w:top w:val="single" w:sz="4" w:space="0" w:color="auto"/>
              <w:bottom w:val="double" w:sz="4" w:space="0" w:color="auto"/>
            </w:tcBorders>
            <w:vAlign w:val="bottom"/>
          </w:tcPr>
          <w:p w14:paraId="7233A203" w14:textId="77777777" w:rsidR="00F218B3" w:rsidRPr="004C4F6D" w:rsidRDefault="00F218B3" w:rsidP="004C4F6D">
            <w:pPr>
              <w:spacing w:after="0" w:line="240" w:lineRule="auto"/>
              <w:ind w:left="180"/>
              <w:jc w:val="right"/>
              <w:rPr>
                <w:rFonts w:ascii="Arial" w:eastAsia="Arial Narrow" w:hAnsi="Arial" w:cs="Arial"/>
                <w:sz w:val="20"/>
                <w:szCs w:val="20"/>
              </w:rPr>
            </w:pPr>
            <w:r w:rsidRPr="004C4F6D">
              <w:rPr>
                <w:rFonts w:ascii="Arial" w:eastAsia="Arial Narrow" w:hAnsi="Arial" w:cs="Arial"/>
                <w:b/>
                <w:sz w:val="20"/>
                <w:szCs w:val="20"/>
              </w:rPr>
              <w:t>114,982,817.54</w:t>
            </w:r>
          </w:p>
        </w:tc>
        <w:tc>
          <w:tcPr>
            <w:tcW w:w="2256" w:type="dxa"/>
            <w:tcBorders>
              <w:top w:val="single" w:sz="4" w:space="0" w:color="auto"/>
              <w:bottom w:val="double" w:sz="4" w:space="0" w:color="auto"/>
            </w:tcBorders>
            <w:vAlign w:val="bottom"/>
          </w:tcPr>
          <w:p w14:paraId="41DB4C05" w14:textId="77777777" w:rsidR="00F218B3" w:rsidRPr="004C4F6D" w:rsidRDefault="00F218B3" w:rsidP="004C4F6D">
            <w:pPr>
              <w:spacing w:after="0" w:line="240" w:lineRule="auto"/>
              <w:ind w:left="621" w:right="43" w:hanging="426"/>
              <w:jc w:val="right"/>
              <w:rPr>
                <w:rFonts w:ascii="Arial" w:eastAsia="Arial Narrow" w:hAnsi="Arial" w:cs="Arial"/>
                <w:sz w:val="20"/>
                <w:szCs w:val="20"/>
              </w:rPr>
            </w:pPr>
            <w:r w:rsidRPr="004C4F6D">
              <w:rPr>
                <w:rFonts w:ascii="Arial" w:eastAsia="Arial Narrow" w:hAnsi="Arial" w:cs="Arial"/>
                <w:b/>
                <w:sz w:val="20"/>
                <w:szCs w:val="20"/>
              </w:rPr>
              <w:t>93,946,142.54</w:t>
            </w:r>
          </w:p>
        </w:tc>
        <w:tc>
          <w:tcPr>
            <w:tcW w:w="2075" w:type="dxa"/>
            <w:tcBorders>
              <w:top w:val="single" w:sz="4" w:space="0" w:color="auto"/>
              <w:bottom w:val="double" w:sz="4" w:space="0" w:color="auto"/>
            </w:tcBorders>
            <w:vAlign w:val="bottom"/>
          </w:tcPr>
          <w:p w14:paraId="15002A45" w14:textId="77777777" w:rsidR="00F218B3" w:rsidRPr="004C4F6D" w:rsidRDefault="00F218B3" w:rsidP="004C4F6D">
            <w:pPr>
              <w:spacing w:after="0" w:line="240" w:lineRule="auto"/>
              <w:ind w:left="621" w:right="140" w:hanging="426"/>
              <w:jc w:val="right"/>
              <w:rPr>
                <w:rFonts w:ascii="Arial" w:eastAsia="Arial Narrow" w:hAnsi="Arial" w:cs="Arial"/>
                <w:sz w:val="20"/>
                <w:szCs w:val="20"/>
              </w:rPr>
            </w:pPr>
            <w:r w:rsidRPr="004C4F6D">
              <w:rPr>
                <w:rFonts w:ascii="Arial" w:eastAsia="Arial Narrow" w:hAnsi="Arial" w:cs="Arial"/>
                <w:b/>
                <w:sz w:val="20"/>
                <w:szCs w:val="20"/>
              </w:rPr>
              <w:t>21,036,675.00</w:t>
            </w:r>
          </w:p>
        </w:tc>
      </w:tr>
    </w:tbl>
    <w:p w14:paraId="5124D666"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0D41E910" w14:textId="6BE5ECA2" w:rsidR="00F218B3" w:rsidRPr="004C4F6D" w:rsidRDefault="00F218B3" w:rsidP="004C4F6D">
      <w:pPr>
        <w:pStyle w:val="ListParagraph"/>
        <w:numPr>
          <w:ilvl w:val="1"/>
          <w:numId w:val="37"/>
        </w:numPr>
        <w:autoSpaceDE w:val="0"/>
        <w:autoSpaceDN w:val="0"/>
        <w:adjustRightInd w:val="0"/>
        <w:spacing w:after="0" w:line="240" w:lineRule="auto"/>
        <w:ind w:left="0" w:firstLine="0"/>
        <w:jc w:val="both"/>
        <w:rPr>
          <w:rFonts w:ascii="Arial" w:eastAsia="Arial Narrow" w:hAnsi="Arial" w:cs="Arial"/>
          <w:bCs/>
          <w:iCs/>
          <w:lang w:val="en-US"/>
        </w:rPr>
      </w:pPr>
      <w:r w:rsidRPr="004C4F6D">
        <w:rPr>
          <w:rFonts w:ascii="Arial" w:eastAsia="Arial Narrow" w:hAnsi="Arial" w:cs="Arial"/>
        </w:rPr>
        <w:lastRenderedPageBreak/>
        <w:t>These properties, however</w:t>
      </w:r>
      <w:r w:rsidR="00003494" w:rsidRPr="004C4F6D">
        <w:rPr>
          <w:rFonts w:ascii="Arial" w:eastAsia="Arial Narrow" w:hAnsi="Arial" w:cs="Arial"/>
        </w:rPr>
        <w:t xml:space="preserve"> </w:t>
      </w:r>
      <w:r w:rsidRPr="004C4F6D">
        <w:rPr>
          <w:rFonts w:ascii="Arial" w:eastAsia="Arial Narrow" w:hAnsi="Arial" w:cs="Arial"/>
        </w:rPr>
        <w:t>were not included in the physical inventory reports prepared by the HO. The properties reported by PSO’s do not indicate whether these were actually received and accounted for by the branches/field units. Some NCR Branches submitted their reports of unbooked properties as of December 31, 2022, but with incomplete information, thus, posing difficulty in verifying whether the said unbooked properties are the same properties being referred to in the report of FMD</w:t>
      </w:r>
      <w:r w:rsidRPr="004C4F6D">
        <w:rPr>
          <w:rFonts w:ascii="Arial" w:eastAsia="Arial Narrow" w:hAnsi="Arial" w:cs="Arial"/>
          <w:bCs/>
          <w:iCs/>
          <w:lang w:val="en-US"/>
        </w:rPr>
        <w:t xml:space="preserve">. </w:t>
      </w:r>
    </w:p>
    <w:p w14:paraId="3496D4C5"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196D47C2" w14:textId="33C0385A" w:rsidR="00F218B3" w:rsidRPr="004C4F6D" w:rsidRDefault="00F218B3" w:rsidP="004C4F6D">
      <w:pPr>
        <w:pStyle w:val="ListParagraph"/>
        <w:numPr>
          <w:ilvl w:val="1"/>
          <w:numId w:val="37"/>
        </w:numPr>
        <w:autoSpaceDE w:val="0"/>
        <w:autoSpaceDN w:val="0"/>
        <w:adjustRightInd w:val="0"/>
        <w:spacing w:after="0" w:line="240" w:lineRule="auto"/>
        <w:ind w:left="0" w:firstLine="0"/>
        <w:jc w:val="both"/>
        <w:rPr>
          <w:rFonts w:ascii="Arial" w:eastAsia="Arial Narrow" w:hAnsi="Arial" w:cs="Arial"/>
          <w:bCs/>
          <w:iCs/>
          <w:lang w:val="en-US"/>
        </w:rPr>
      </w:pPr>
      <w:r w:rsidRPr="004C4F6D">
        <w:rPr>
          <w:rFonts w:ascii="Arial" w:eastAsia="Arial Narrow" w:hAnsi="Arial" w:cs="Arial"/>
        </w:rPr>
        <w:t>According to AAD, the reconciliation of properties booked in the HO but are physically located in field units is still on-going. They continue to identify the last known location of properties booked in the Office but were issued to field units. The data to verify its existence is lacking in spite that communication requests sent to different field units</w:t>
      </w:r>
      <w:r w:rsidR="00F23D45">
        <w:rPr>
          <w:rFonts w:ascii="Arial" w:eastAsia="Arial Narrow" w:hAnsi="Arial" w:cs="Arial"/>
        </w:rPr>
        <w:t>; t</w:t>
      </w:r>
      <w:r w:rsidRPr="004C4F6D">
        <w:rPr>
          <w:rFonts w:ascii="Arial" w:eastAsia="Arial Narrow" w:hAnsi="Arial" w:cs="Arial"/>
        </w:rPr>
        <w:t xml:space="preserve">hus, the existence of recorded properties as of December 31, 2022 was not established. </w:t>
      </w:r>
    </w:p>
    <w:p w14:paraId="4E34BFE0"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38CADF72" w14:textId="151D85B4"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
        </w:rPr>
      </w:pPr>
      <w:r w:rsidRPr="004C4F6D">
        <w:rPr>
          <w:rFonts w:ascii="Arial" w:eastAsia="Arial Narrow" w:hAnsi="Arial" w:cs="Arial"/>
          <w:b/>
          <w:i/>
        </w:rPr>
        <w:t xml:space="preserve">Accrued capital expenditures for 54 units of Furniture and Fixtures transferred by the UCPB to </w:t>
      </w:r>
      <w:r w:rsidR="00003494" w:rsidRPr="004C4F6D">
        <w:rPr>
          <w:rFonts w:ascii="Arial" w:eastAsia="Arial Narrow" w:hAnsi="Arial" w:cs="Arial"/>
          <w:b/>
          <w:i/>
        </w:rPr>
        <w:t>LBP which</w:t>
      </w:r>
      <w:r w:rsidRPr="004C4F6D">
        <w:rPr>
          <w:rFonts w:ascii="Arial" w:eastAsia="Arial Narrow" w:hAnsi="Arial" w:cs="Arial"/>
          <w:b/>
          <w:i/>
        </w:rPr>
        <w:t xml:space="preserve"> are still for verification</w:t>
      </w:r>
      <w:r w:rsidRPr="004C4F6D">
        <w:rPr>
          <w:rFonts w:ascii="Arial" w:eastAsia="Arial Narrow" w:hAnsi="Arial" w:cs="Arial"/>
          <w:bCs/>
          <w:i/>
        </w:rPr>
        <w:t>.</w:t>
      </w:r>
    </w:p>
    <w:p w14:paraId="59EAEBCF" w14:textId="77777777" w:rsidR="00F218B3" w:rsidRPr="004C4F6D" w:rsidRDefault="00F218B3" w:rsidP="004C4F6D">
      <w:pPr>
        <w:pStyle w:val="ListParagraph"/>
        <w:autoSpaceDE w:val="0"/>
        <w:autoSpaceDN w:val="0"/>
        <w:adjustRightInd w:val="0"/>
        <w:spacing w:after="0" w:line="240" w:lineRule="auto"/>
        <w:jc w:val="both"/>
        <w:rPr>
          <w:rFonts w:ascii="Arial" w:eastAsia="Arial Narrow" w:hAnsi="Arial" w:cs="Arial"/>
          <w:bCs/>
          <w:iCs/>
          <w:lang w:val="en-US"/>
        </w:rPr>
      </w:pPr>
    </w:p>
    <w:p w14:paraId="24654469" w14:textId="227017E1" w:rsidR="00F218B3" w:rsidRPr="004C4F6D" w:rsidRDefault="00003494" w:rsidP="004C4F6D">
      <w:pPr>
        <w:pStyle w:val="ListParagraph"/>
        <w:numPr>
          <w:ilvl w:val="1"/>
          <w:numId w:val="37"/>
        </w:numPr>
        <w:autoSpaceDE w:val="0"/>
        <w:autoSpaceDN w:val="0"/>
        <w:adjustRightInd w:val="0"/>
        <w:spacing w:after="0" w:line="240" w:lineRule="auto"/>
        <w:ind w:left="0" w:firstLine="0"/>
        <w:jc w:val="both"/>
        <w:rPr>
          <w:rFonts w:ascii="Arial" w:eastAsia="Arial Narrow" w:hAnsi="Arial" w:cs="Arial"/>
          <w:bCs/>
          <w:iCs/>
          <w:lang w:val="en-US"/>
        </w:rPr>
      </w:pPr>
      <w:r w:rsidRPr="004C4F6D">
        <w:rPr>
          <w:rFonts w:ascii="Arial" w:eastAsia="Arial Narrow" w:hAnsi="Arial" w:cs="Arial"/>
        </w:rPr>
        <w:t>T</w:t>
      </w:r>
      <w:r w:rsidR="00F218B3" w:rsidRPr="004C4F6D">
        <w:rPr>
          <w:rFonts w:ascii="Arial" w:eastAsia="Arial Narrow" w:hAnsi="Arial" w:cs="Arial"/>
        </w:rPr>
        <w:t xml:space="preserve">he Schedule of Fixed Assets transferred from the UCPB with total balance of P651,857,629.24 </w:t>
      </w:r>
      <w:r w:rsidR="008219E5" w:rsidRPr="004C4F6D">
        <w:rPr>
          <w:rFonts w:ascii="Arial" w:eastAsia="Arial Narrow" w:hAnsi="Arial" w:cs="Arial"/>
        </w:rPr>
        <w:t>included accruals</w:t>
      </w:r>
      <w:r w:rsidR="00F218B3" w:rsidRPr="004C4F6D">
        <w:rPr>
          <w:rFonts w:ascii="Arial" w:eastAsia="Arial Narrow" w:hAnsi="Arial" w:cs="Arial"/>
        </w:rPr>
        <w:t xml:space="preserve"> of capital expenditure for various types of 54 fixed assets </w:t>
      </w:r>
      <w:r w:rsidR="00F218B3" w:rsidRPr="004C4F6D">
        <w:rPr>
          <w:rFonts w:ascii="Arial" w:eastAsia="Arial Narrow" w:hAnsi="Arial" w:cs="Arial"/>
          <w:bCs/>
          <w:iCs/>
        </w:rPr>
        <w:t>with acquisition cost of P106,277,997.54</w:t>
      </w:r>
      <w:r w:rsidR="00F218B3" w:rsidRPr="004C4F6D">
        <w:rPr>
          <w:rFonts w:ascii="Arial" w:eastAsia="Arial Narrow" w:hAnsi="Arial" w:cs="Arial"/>
          <w:bCs/>
          <w:iCs/>
          <w:sz w:val="18"/>
          <w:szCs w:val="18"/>
        </w:rPr>
        <w:t xml:space="preserve"> </w:t>
      </w:r>
      <w:r w:rsidR="00F218B3" w:rsidRPr="004C4F6D">
        <w:rPr>
          <w:rFonts w:ascii="Arial" w:eastAsia="Arial Narrow" w:hAnsi="Arial" w:cs="Arial"/>
          <w:bCs/>
          <w:iCs/>
        </w:rPr>
        <w:t>and undetermined book value as of December 31, 2022</w:t>
      </w:r>
      <w:r w:rsidR="005A7A03">
        <w:rPr>
          <w:rFonts w:ascii="Arial" w:eastAsia="Arial Narrow" w:hAnsi="Arial" w:cs="Arial"/>
          <w:bCs/>
          <w:iCs/>
        </w:rPr>
        <w:t>.</w:t>
      </w:r>
      <w:r w:rsidR="00F218B3" w:rsidRPr="004C4F6D">
        <w:rPr>
          <w:rFonts w:ascii="Arial" w:eastAsia="Arial Narrow" w:hAnsi="Arial" w:cs="Arial"/>
        </w:rPr>
        <w:t xml:space="preserve">  </w:t>
      </w:r>
    </w:p>
    <w:p w14:paraId="5BFE2C50" w14:textId="77777777" w:rsidR="00F218B3" w:rsidRPr="004C4F6D" w:rsidRDefault="00F218B3" w:rsidP="004C4F6D">
      <w:pPr>
        <w:pStyle w:val="ListParagraph"/>
        <w:autoSpaceDE w:val="0"/>
        <w:autoSpaceDN w:val="0"/>
        <w:adjustRightInd w:val="0"/>
        <w:spacing w:after="0" w:line="240" w:lineRule="auto"/>
        <w:jc w:val="both"/>
        <w:rPr>
          <w:rFonts w:ascii="Arial" w:eastAsia="Arial Narrow" w:hAnsi="Arial" w:cs="Arial"/>
          <w:bCs/>
          <w:iCs/>
          <w:lang w:val="en-US"/>
        </w:rPr>
      </w:pPr>
    </w:p>
    <w:p w14:paraId="40F6CD6F" w14:textId="35BEFA6B" w:rsidR="00F218B3" w:rsidRPr="004C4F6D" w:rsidRDefault="00F218B3" w:rsidP="004C4F6D">
      <w:pPr>
        <w:autoSpaceDE w:val="0"/>
        <w:autoSpaceDN w:val="0"/>
        <w:adjustRightInd w:val="0"/>
        <w:spacing w:after="0" w:line="240" w:lineRule="auto"/>
        <w:jc w:val="both"/>
        <w:rPr>
          <w:rFonts w:ascii="Arial" w:eastAsia="Arial Narrow" w:hAnsi="Arial" w:cs="Arial"/>
          <w:bCs/>
          <w:iCs/>
          <w:lang w:val="en-US"/>
        </w:rPr>
      </w:pPr>
      <w:r w:rsidRPr="004C4F6D">
        <w:rPr>
          <w:rFonts w:ascii="Arial" w:eastAsia="Arial Narrow" w:hAnsi="Arial" w:cs="Arial"/>
          <w:color w:val="000000"/>
        </w:rPr>
        <w:t>3.21</w:t>
      </w:r>
      <w:r w:rsidRPr="004C4F6D">
        <w:rPr>
          <w:rFonts w:ascii="Arial" w:eastAsia="Arial Narrow" w:hAnsi="Arial" w:cs="Arial"/>
          <w:color w:val="000000"/>
        </w:rPr>
        <w:tab/>
        <w:t>The records of transactions dated as early as 2009, cannot be verified</w:t>
      </w:r>
      <w:r w:rsidR="00D13CCC">
        <w:rPr>
          <w:rFonts w:ascii="Arial" w:eastAsia="Arial Narrow" w:hAnsi="Arial" w:cs="Arial"/>
          <w:color w:val="000000"/>
        </w:rPr>
        <w:t xml:space="preserve"> by</w:t>
      </w:r>
      <w:r w:rsidRPr="004C4F6D">
        <w:rPr>
          <w:rFonts w:ascii="Arial" w:eastAsia="Arial Narrow" w:hAnsi="Arial" w:cs="Arial"/>
          <w:color w:val="000000"/>
        </w:rPr>
        <w:t xml:space="preserve"> both Management and the audit team due to the following reasons: a) incomplete details of recorded transactions, b) supporting documents of recorded transactions were</w:t>
      </w:r>
      <w:r w:rsidR="00003494" w:rsidRPr="004C4F6D">
        <w:rPr>
          <w:rFonts w:ascii="Arial" w:eastAsia="Arial Narrow" w:hAnsi="Arial" w:cs="Arial"/>
          <w:color w:val="000000"/>
        </w:rPr>
        <w:t xml:space="preserve"> </w:t>
      </w:r>
      <w:r w:rsidR="008219E5" w:rsidRPr="004C4F6D">
        <w:rPr>
          <w:rFonts w:ascii="Arial" w:eastAsia="Arial Narrow" w:hAnsi="Arial" w:cs="Arial"/>
          <w:color w:val="000000"/>
        </w:rPr>
        <w:t>already archived</w:t>
      </w:r>
      <w:r w:rsidRPr="004C4F6D">
        <w:rPr>
          <w:rFonts w:ascii="Arial" w:eastAsia="Arial Narrow" w:hAnsi="Arial" w:cs="Arial"/>
          <w:color w:val="000000"/>
        </w:rPr>
        <w:t xml:space="preserve"> and several items refer to transactions in the branches, and c) no proper turnover from personnel previously in charge of said transactions and </w:t>
      </w:r>
      <w:r w:rsidR="008219E5" w:rsidRPr="004C4F6D">
        <w:rPr>
          <w:rFonts w:ascii="Arial" w:eastAsia="Arial Narrow" w:hAnsi="Arial" w:cs="Arial"/>
          <w:color w:val="000000"/>
        </w:rPr>
        <w:t>who are</w:t>
      </w:r>
      <w:r w:rsidR="00003494" w:rsidRPr="004C4F6D">
        <w:rPr>
          <w:rFonts w:ascii="Arial" w:eastAsia="Arial Narrow" w:hAnsi="Arial" w:cs="Arial"/>
          <w:color w:val="000000"/>
        </w:rPr>
        <w:t xml:space="preserve"> </w:t>
      </w:r>
      <w:r w:rsidRPr="004C4F6D">
        <w:rPr>
          <w:rFonts w:ascii="Arial" w:eastAsia="Arial Narrow" w:hAnsi="Arial" w:cs="Arial"/>
          <w:color w:val="000000"/>
        </w:rPr>
        <w:t>already separated from UCPB. According to AAD, verification of the existence of said accrued amounts are still on going and committed the reconciliation procedures to be completed by June 30, 2023. Certain field units claim that selected items were already delivered, however, submission of supporting documents (i.e. delivery receipts) is still pending. Hence, it</w:t>
      </w:r>
      <w:r w:rsidR="00003494" w:rsidRPr="004C4F6D">
        <w:rPr>
          <w:rFonts w:ascii="Arial" w:eastAsia="Arial Narrow" w:hAnsi="Arial" w:cs="Arial"/>
          <w:color w:val="000000"/>
        </w:rPr>
        <w:t xml:space="preserve"> </w:t>
      </w:r>
      <w:r w:rsidRPr="004C4F6D">
        <w:rPr>
          <w:rFonts w:ascii="Arial" w:eastAsia="Arial Narrow" w:hAnsi="Arial" w:cs="Arial"/>
          <w:color w:val="000000"/>
        </w:rPr>
        <w:t xml:space="preserve">was not verified whether the items were actually delivered and already used by the Bank, this, resulting to low reliance on the validity of the balance of equipment included in the financial statements as of December 31, 2022.  </w:t>
      </w:r>
    </w:p>
    <w:p w14:paraId="5733E308"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7C997D39" w14:textId="77777777" w:rsidR="00F218B3" w:rsidRPr="004C4F6D" w:rsidRDefault="00F218B3" w:rsidP="004C4F6D">
      <w:pPr>
        <w:pStyle w:val="ListParagraph"/>
        <w:numPr>
          <w:ilvl w:val="1"/>
          <w:numId w:val="38"/>
        </w:numPr>
        <w:autoSpaceDE w:val="0"/>
        <w:autoSpaceDN w:val="0"/>
        <w:adjustRightInd w:val="0"/>
        <w:spacing w:after="0" w:line="240" w:lineRule="auto"/>
        <w:ind w:left="0" w:firstLine="0"/>
        <w:jc w:val="both"/>
        <w:rPr>
          <w:rFonts w:ascii="Arial" w:eastAsia="Arial Narrow" w:hAnsi="Arial" w:cs="Arial"/>
          <w:bCs/>
          <w:iCs/>
          <w:lang w:val="en-US"/>
        </w:rPr>
      </w:pPr>
      <w:r w:rsidRPr="004C4F6D">
        <w:rPr>
          <w:rFonts w:ascii="Arial" w:eastAsia="Arial Narrow" w:hAnsi="Arial" w:cs="Arial"/>
        </w:rPr>
        <w:t>Management informed that the accruals on properties pertain to the following</w:t>
      </w:r>
      <w:r w:rsidRPr="004C4F6D">
        <w:rPr>
          <w:rFonts w:ascii="Arial" w:eastAsia="Arial Narrow" w:hAnsi="Arial" w:cs="Arial"/>
          <w:bCs/>
          <w:iCs/>
          <w:lang w:val="en-US"/>
        </w:rPr>
        <w:t>:</w:t>
      </w:r>
    </w:p>
    <w:p w14:paraId="2765F350"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tbl>
      <w:tblPr>
        <w:tblW w:w="8010" w:type="dxa"/>
        <w:tblInd w:w="720" w:type="dxa"/>
        <w:tblLayout w:type="fixed"/>
        <w:tblLook w:val="04A0" w:firstRow="1" w:lastRow="0" w:firstColumn="1" w:lastColumn="0" w:noHBand="0" w:noVBand="1"/>
      </w:tblPr>
      <w:tblGrid>
        <w:gridCol w:w="6030"/>
        <w:gridCol w:w="1980"/>
      </w:tblGrid>
      <w:tr w:rsidR="00F218B3" w:rsidRPr="004C4F6D" w14:paraId="0AA7EF6C" w14:textId="77777777" w:rsidTr="00FA0A7C">
        <w:trPr>
          <w:trHeight w:val="255"/>
          <w:tblHeader/>
        </w:trPr>
        <w:tc>
          <w:tcPr>
            <w:tcW w:w="6030" w:type="dxa"/>
            <w:tcBorders>
              <w:top w:val="single" w:sz="4" w:space="0" w:color="auto"/>
              <w:bottom w:val="single" w:sz="4" w:space="0" w:color="auto"/>
            </w:tcBorders>
            <w:tcMar>
              <w:top w:w="0" w:type="dxa"/>
              <w:left w:w="100" w:type="dxa"/>
              <w:bottom w:w="0" w:type="dxa"/>
              <w:right w:w="100" w:type="dxa"/>
            </w:tcMar>
          </w:tcPr>
          <w:p w14:paraId="0D34046E" w14:textId="77777777" w:rsidR="00F218B3" w:rsidRPr="004C4F6D" w:rsidRDefault="00F218B3" w:rsidP="004C4F6D">
            <w:pPr>
              <w:keepLines/>
              <w:widowControl w:val="0"/>
              <w:spacing w:after="0" w:line="240" w:lineRule="auto"/>
              <w:ind w:left="479"/>
              <w:jc w:val="center"/>
              <w:rPr>
                <w:rFonts w:ascii="Arial" w:eastAsia="Arial Narrow" w:hAnsi="Arial" w:cs="Arial"/>
                <w:b/>
                <w:sz w:val="18"/>
                <w:szCs w:val="18"/>
              </w:rPr>
            </w:pPr>
            <w:r w:rsidRPr="004C4F6D">
              <w:rPr>
                <w:rFonts w:ascii="Arial" w:eastAsia="Arial Narrow" w:hAnsi="Arial" w:cs="Arial"/>
                <w:b/>
                <w:sz w:val="18"/>
                <w:szCs w:val="18"/>
              </w:rPr>
              <w:t>Description</w:t>
            </w:r>
          </w:p>
        </w:tc>
        <w:tc>
          <w:tcPr>
            <w:tcW w:w="1980" w:type="dxa"/>
            <w:tcBorders>
              <w:top w:val="single" w:sz="4" w:space="0" w:color="auto"/>
              <w:bottom w:val="single" w:sz="4" w:space="0" w:color="auto"/>
            </w:tcBorders>
            <w:tcMar>
              <w:top w:w="0" w:type="dxa"/>
              <w:left w:w="100" w:type="dxa"/>
              <w:bottom w:w="0" w:type="dxa"/>
              <w:right w:w="100" w:type="dxa"/>
            </w:tcMar>
          </w:tcPr>
          <w:p w14:paraId="1F9AA490" w14:textId="77777777" w:rsidR="00F218B3" w:rsidRPr="004C4F6D" w:rsidRDefault="00F218B3" w:rsidP="004C4F6D">
            <w:pPr>
              <w:keepLines/>
              <w:widowControl w:val="0"/>
              <w:spacing w:after="0" w:line="240" w:lineRule="auto"/>
              <w:ind w:left="479"/>
              <w:jc w:val="center"/>
              <w:rPr>
                <w:rFonts w:ascii="Arial" w:eastAsia="Arial Narrow" w:hAnsi="Arial" w:cs="Arial"/>
                <w:b/>
                <w:sz w:val="18"/>
                <w:szCs w:val="18"/>
              </w:rPr>
            </w:pPr>
            <w:r w:rsidRPr="004C4F6D">
              <w:rPr>
                <w:rFonts w:ascii="Arial" w:eastAsia="Arial Narrow" w:hAnsi="Arial" w:cs="Arial"/>
                <w:b/>
                <w:sz w:val="18"/>
                <w:szCs w:val="18"/>
              </w:rPr>
              <w:t>Amount</w:t>
            </w:r>
          </w:p>
        </w:tc>
      </w:tr>
      <w:tr w:rsidR="00F218B3" w:rsidRPr="004C4F6D" w14:paraId="2EC26BAC" w14:textId="77777777" w:rsidTr="00FA0A7C">
        <w:trPr>
          <w:trHeight w:val="216"/>
        </w:trPr>
        <w:tc>
          <w:tcPr>
            <w:tcW w:w="6030" w:type="dxa"/>
            <w:tcBorders>
              <w:top w:val="single" w:sz="4" w:space="0" w:color="auto"/>
            </w:tcBorders>
            <w:tcMar>
              <w:top w:w="0" w:type="dxa"/>
              <w:left w:w="100" w:type="dxa"/>
              <w:bottom w:w="0" w:type="dxa"/>
              <w:right w:w="100" w:type="dxa"/>
            </w:tcMar>
          </w:tcPr>
          <w:p w14:paraId="6798C42B" w14:textId="77777777" w:rsidR="00F218B3" w:rsidRPr="004C4F6D" w:rsidRDefault="00F218B3" w:rsidP="004C4F6D">
            <w:pPr>
              <w:keepLines/>
              <w:widowControl w:val="0"/>
              <w:spacing w:after="0" w:line="240" w:lineRule="auto"/>
              <w:ind w:left="37"/>
              <w:jc w:val="both"/>
              <w:rPr>
                <w:rFonts w:ascii="Arial" w:eastAsia="Arial Narrow" w:hAnsi="Arial" w:cs="Arial"/>
                <w:sz w:val="18"/>
                <w:szCs w:val="18"/>
              </w:rPr>
            </w:pPr>
            <w:r w:rsidRPr="004C4F6D">
              <w:rPr>
                <w:rFonts w:ascii="Arial" w:eastAsia="Arial Narrow" w:hAnsi="Arial" w:cs="Arial"/>
                <w:sz w:val="18"/>
                <w:szCs w:val="18"/>
              </w:rPr>
              <w:t>Accounts paid prior to December 31, 2022 which were not reversed on the same date</w:t>
            </w:r>
          </w:p>
        </w:tc>
        <w:tc>
          <w:tcPr>
            <w:tcW w:w="1980" w:type="dxa"/>
            <w:tcBorders>
              <w:top w:val="single" w:sz="4" w:space="0" w:color="auto"/>
            </w:tcBorders>
            <w:tcMar>
              <w:top w:w="0" w:type="dxa"/>
              <w:left w:w="100" w:type="dxa"/>
              <w:bottom w:w="0" w:type="dxa"/>
              <w:right w:w="100" w:type="dxa"/>
            </w:tcMar>
          </w:tcPr>
          <w:p w14:paraId="6AAA9FD4" w14:textId="77777777" w:rsidR="00F218B3" w:rsidRPr="004C4F6D" w:rsidRDefault="00F218B3" w:rsidP="004C4F6D">
            <w:pPr>
              <w:keepLines/>
              <w:widowControl w:val="0"/>
              <w:spacing w:after="0" w:line="240" w:lineRule="auto"/>
              <w:ind w:left="479"/>
              <w:jc w:val="right"/>
              <w:rPr>
                <w:rFonts w:ascii="Arial" w:eastAsia="Arial Narrow" w:hAnsi="Arial" w:cs="Arial"/>
                <w:sz w:val="18"/>
                <w:szCs w:val="18"/>
              </w:rPr>
            </w:pPr>
            <w:r w:rsidRPr="004C4F6D">
              <w:rPr>
                <w:rFonts w:ascii="Arial" w:eastAsia="Arial Narrow" w:hAnsi="Arial" w:cs="Arial"/>
                <w:sz w:val="18"/>
                <w:szCs w:val="18"/>
              </w:rPr>
              <w:t>45,626,848.11</w:t>
            </w:r>
          </w:p>
        </w:tc>
      </w:tr>
      <w:tr w:rsidR="00F218B3" w:rsidRPr="004C4F6D" w14:paraId="37FA4771" w14:textId="77777777" w:rsidTr="00FA0A7C">
        <w:trPr>
          <w:trHeight w:val="255"/>
        </w:trPr>
        <w:tc>
          <w:tcPr>
            <w:tcW w:w="6030" w:type="dxa"/>
            <w:tcMar>
              <w:top w:w="0" w:type="dxa"/>
              <w:left w:w="100" w:type="dxa"/>
              <w:bottom w:w="0" w:type="dxa"/>
              <w:right w:w="100" w:type="dxa"/>
            </w:tcMar>
          </w:tcPr>
          <w:p w14:paraId="73A96F49" w14:textId="77777777" w:rsidR="00F218B3" w:rsidRPr="004C4F6D" w:rsidRDefault="00F218B3" w:rsidP="004C4F6D">
            <w:pPr>
              <w:keepLines/>
              <w:widowControl w:val="0"/>
              <w:spacing w:after="0" w:line="240" w:lineRule="auto"/>
              <w:ind w:left="37"/>
              <w:jc w:val="both"/>
              <w:rPr>
                <w:rFonts w:ascii="Arial" w:eastAsia="Arial Narrow" w:hAnsi="Arial" w:cs="Arial"/>
                <w:sz w:val="18"/>
                <w:szCs w:val="18"/>
              </w:rPr>
            </w:pPr>
            <w:r w:rsidRPr="004C4F6D">
              <w:rPr>
                <w:rFonts w:ascii="Arial" w:eastAsia="Arial Narrow" w:hAnsi="Arial" w:cs="Arial"/>
                <w:sz w:val="18"/>
                <w:szCs w:val="18"/>
              </w:rPr>
              <w:t>Accounts with excess set-up of accounts payable</w:t>
            </w:r>
          </w:p>
        </w:tc>
        <w:tc>
          <w:tcPr>
            <w:tcW w:w="1980" w:type="dxa"/>
            <w:tcMar>
              <w:top w:w="0" w:type="dxa"/>
              <w:left w:w="100" w:type="dxa"/>
              <w:bottom w:w="0" w:type="dxa"/>
              <w:right w:w="100" w:type="dxa"/>
            </w:tcMar>
          </w:tcPr>
          <w:p w14:paraId="461F4080" w14:textId="77777777" w:rsidR="00F218B3" w:rsidRPr="004C4F6D" w:rsidRDefault="00F218B3" w:rsidP="004C4F6D">
            <w:pPr>
              <w:keepLines/>
              <w:widowControl w:val="0"/>
              <w:spacing w:after="0" w:line="240" w:lineRule="auto"/>
              <w:ind w:left="479"/>
              <w:jc w:val="right"/>
              <w:rPr>
                <w:rFonts w:ascii="Arial" w:eastAsia="Arial Narrow" w:hAnsi="Arial" w:cs="Arial"/>
                <w:sz w:val="18"/>
                <w:szCs w:val="18"/>
              </w:rPr>
            </w:pPr>
            <w:r w:rsidRPr="004C4F6D">
              <w:rPr>
                <w:rFonts w:ascii="Arial" w:eastAsia="Arial Narrow" w:hAnsi="Arial" w:cs="Arial"/>
                <w:sz w:val="18"/>
                <w:szCs w:val="18"/>
              </w:rPr>
              <w:t xml:space="preserve">  32,548,450.68</w:t>
            </w:r>
          </w:p>
        </w:tc>
      </w:tr>
      <w:tr w:rsidR="00F218B3" w:rsidRPr="004C4F6D" w14:paraId="02B5DADF" w14:textId="77777777" w:rsidTr="00FA0A7C">
        <w:trPr>
          <w:trHeight w:val="448"/>
        </w:trPr>
        <w:tc>
          <w:tcPr>
            <w:tcW w:w="6030" w:type="dxa"/>
            <w:tcMar>
              <w:top w:w="0" w:type="dxa"/>
              <w:left w:w="100" w:type="dxa"/>
              <w:bottom w:w="0" w:type="dxa"/>
              <w:right w:w="100" w:type="dxa"/>
            </w:tcMar>
          </w:tcPr>
          <w:p w14:paraId="179384D5" w14:textId="77777777" w:rsidR="00F218B3" w:rsidRPr="004C4F6D" w:rsidRDefault="00F218B3" w:rsidP="004C4F6D">
            <w:pPr>
              <w:keepLines/>
              <w:widowControl w:val="0"/>
              <w:spacing w:after="0" w:line="240" w:lineRule="auto"/>
              <w:ind w:left="37"/>
              <w:jc w:val="both"/>
              <w:rPr>
                <w:rFonts w:ascii="Arial" w:eastAsia="Arial Narrow" w:hAnsi="Arial" w:cs="Arial"/>
                <w:sz w:val="18"/>
                <w:szCs w:val="18"/>
              </w:rPr>
            </w:pPr>
            <w:r w:rsidRPr="004C4F6D">
              <w:rPr>
                <w:rFonts w:ascii="Arial" w:eastAsia="Arial Narrow" w:hAnsi="Arial" w:cs="Arial"/>
                <w:sz w:val="18"/>
                <w:szCs w:val="18"/>
              </w:rPr>
              <w:t>Transactions without sufficient documents to establish the validity of accounts payable</w:t>
            </w:r>
          </w:p>
        </w:tc>
        <w:tc>
          <w:tcPr>
            <w:tcW w:w="1980" w:type="dxa"/>
            <w:tcMar>
              <w:top w:w="0" w:type="dxa"/>
              <w:left w:w="100" w:type="dxa"/>
              <w:bottom w:w="0" w:type="dxa"/>
              <w:right w:w="100" w:type="dxa"/>
            </w:tcMar>
          </w:tcPr>
          <w:p w14:paraId="115B9D7F" w14:textId="77777777" w:rsidR="00F218B3" w:rsidRPr="004C4F6D" w:rsidRDefault="00F218B3" w:rsidP="004C4F6D">
            <w:pPr>
              <w:keepLines/>
              <w:widowControl w:val="0"/>
              <w:spacing w:after="0" w:line="240" w:lineRule="auto"/>
              <w:ind w:left="479"/>
              <w:jc w:val="right"/>
              <w:rPr>
                <w:rFonts w:ascii="Arial" w:eastAsia="Arial Narrow" w:hAnsi="Arial" w:cs="Arial"/>
                <w:sz w:val="18"/>
                <w:szCs w:val="18"/>
              </w:rPr>
            </w:pPr>
            <w:r w:rsidRPr="004C4F6D">
              <w:rPr>
                <w:rFonts w:ascii="Arial" w:eastAsia="Arial Narrow" w:hAnsi="Arial" w:cs="Arial"/>
                <w:sz w:val="18"/>
                <w:szCs w:val="18"/>
              </w:rPr>
              <w:t xml:space="preserve">  10,155,366.91</w:t>
            </w:r>
          </w:p>
        </w:tc>
      </w:tr>
      <w:tr w:rsidR="00F218B3" w:rsidRPr="004C4F6D" w14:paraId="2244DDE5" w14:textId="77777777" w:rsidTr="00FA0A7C">
        <w:trPr>
          <w:trHeight w:val="265"/>
        </w:trPr>
        <w:tc>
          <w:tcPr>
            <w:tcW w:w="6030" w:type="dxa"/>
            <w:tcBorders>
              <w:bottom w:val="single" w:sz="4" w:space="0" w:color="auto"/>
            </w:tcBorders>
            <w:tcMar>
              <w:top w:w="0" w:type="dxa"/>
              <w:left w:w="100" w:type="dxa"/>
              <w:bottom w:w="0" w:type="dxa"/>
              <w:right w:w="100" w:type="dxa"/>
            </w:tcMar>
          </w:tcPr>
          <w:p w14:paraId="159A464D" w14:textId="77777777" w:rsidR="00F218B3" w:rsidRPr="004C4F6D" w:rsidRDefault="00F218B3" w:rsidP="004C4F6D">
            <w:pPr>
              <w:keepLines/>
              <w:widowControl w:val="0"/>
              <w:spacing w:after="0" w:line="240" w:lineRule="auto"/>
              <w:ind w:left="37"/>
              <w:jc w:val="both"/>
              <w:rPr>
                <w:rFonts w:ascii="Arial" w:eastAsia="Arial Narrow" w:hAnsi="Arial" w:cs="Arial"/>
                <w:sz w:val="18"/>
                <w:szCs w:val="18"/>
              </w:rPr>
            </w:pPr>
            <w:r w:rsidRPr="004C4F6D">
              <w:rPr>
                <w:rFonts w:ascii="Arial" w:eastAsia="Arial Narrow" w:hAnsi="Arial" w:cs="Arial"/>
                <w:sz w:val="18"/>
                <w:szCs w:val="18"/>
              </w:rPr>
              <w:t>Accounts with pending payments and/or paid only in 2023</w:t>
            </w:r>
          </w:p>
        </w:tc>
        <w:tc>
          <w:tcPr>
            <w:tcW w:w="1980" w:type="dxa"/>
            <w:tcBorders>
              <w:bottom w:val="single" w:sz="4" w:space="0" w:color="auto"/>
            </w:tcBorders>
            <w:tcMar>
              <w:top w:w="0" w:type="dxa"/>
              <w:left w:w="100" w:type="dxa"/>
              <w:bottom w:w="0" w:type="dxa"/>
              <w:right w:w="100" w:type="dxa"/>
            </w:tcMar>
          </w:tcPr>
          <w:p w14:paraId="5A87AEAC" w14:textId="77777777" w:rsidR="00F218B3" w:rsidRPr="004C4F6D" w:rsidRDefault="00F218B3" w:rsidP="004C4F6D">
            <w:pPr>
              <w:keepLines/>
              <w:widowControl w:val="0"/>
              <w:spacing w:after="0" w:line="240" w:lineRule="auto"/>
              <w:ind w:left="479"/>
              <w:jc w:val="right"/>
              <w:rPr>
                <w:rFonts w:ascii="Arial" w:eastAsia="Arial Narrow" w:hAnsi="Arial" w:cs="Arial"/>
                <w:sz w:val="18"/>
                <w:szCs w:val="18"/>
              </w:rPr>
            </w:pPr>
            <w:r w:rsidRPr="004C4F6D">
              <w:rPr>
                <w:rFonts w:ascii="Arial" w:eastAsia="Arial Narrow" w:hAnsi="Arial" w:cs="Arial"/>
                <w:sz w:val="18"/>
                <w:szCs w:val="18"/>
              </w:rPr>
              <w:t xml:space="preserve">  17,947,331.84</w:t>
            </w:r>
          </w:p>
        </w:tc>
      </w:tr>
      <w:tr w:rsidR="00F218B3" w:rsidRPr="004C4F6D" w14:paraId="207AE7B4" w14:textId="77777777" w:rsidTr="00FA0A7C">
        <w:trPr>
          <w:trHeight w:val="255"/>
        </w:trPr>
        <w:tc>
          <w:tcPr>
            <w:tcW w:w="6030" w:type="dxa"/>
            <w:tcBorders>
              <w:top w:val="single" w:sz="4" w:space="0" w:color="auto"/>
              <w:bottom w:val="double" w:sz="4" w:space="0" w:color="auto"/>
            </w:tcBorders>
            <w:tcMar>
              <w:top w:w="0" w:type="dxa"/>
              <w:left w:w="100" w:type="dxa"/>
              <w:bottom w:w="0" w:type="dxa"/>
              <w:right w:w="100" w:type="dxa"/>
            </w:tcMar>
          </w:tcPr>
          <w:p w14:paraId="470152C3" w14:textId="77777777" w:rsidR="00F218B3" w:rsidRPr="004C4F6D" w:rsidRDefault="00F218B3" w:rsidP="004C4F6D">
            <w:pPr>
              <w:keepLines/>
              <w:widowControl w:val="0"/>
              <w:spacing w:after="0" w:line="240" w:lineRule="auto"/>
              <w:ind w:left="37"/>
              <w:jc w:val="both"/>
              <w:rPr>
                <w:rFonts w:ascii="Arial" w:eastAsia="Arial Narrow" w:hAnsi="Arial" w:cs="Arial"/>
                <w:b/>
                <w:sz w:val="18"/>
                <w:szCs w:val="18"/>
              </w:rPr>
            </w:pPr>
            <w:r w:rsidRPr="004C4F6D">
              <w:rPr>
                <w:rFonts w:ascii="Arial" w:eastAsia="Arial Narrow" w:hAnsi="Arial" w:cs="Arial"/>
                <w:b/>
                <w:sz w:val="18"/>
                <w:szCs w:val="18"/>
              </w:rPr>
              <w:t>Total</w:t>
            </w:r>
          </w:p>
        </w:tc>
        <w:tc>
          <w:tcPr>
            <w:tcW w:w="1980" w:type="dxa"/>
            <w:tcBorders>
              <w:top w:val="single" w:sz="4" w:space="0" w:color="auto"/>
              <w:bottom w:val="double" w:sz="4" w:space="0" w:color="auto"/>
            </w:tcBorders>
            <w:tcMar>
              <w:top w:w="0" w:type="dxa"/>
              <w:left w:w="100" w:type="dxa"/>
              <w:bottom w:w="0" w:type="dxa"/>
              <w:right w:w="100" w:type="dxa"/>
            </w:tcMar>
          </w:tcPr>
          <w:p w14:paraId="18D0E200" w14:textId="77777777" w:rsidR="00F218B3" w:rsidRPr="004C4F6D" w:rsidRDefault="00F218B3" w:rsidP="004C4F6D">
            <w:pPr>
              <w:keepLines/>
              <w:widowControl w:val="0"/>
              <w:spacing w:after="0" w:line="240" w:lineRule="auto"/>
              <w:ind w:left="479"/>
              <w:jc w:val="right"/>
              <w:rPr>
                <w:rFonts w:ascii="Arial" w:eastAsia="Arial Narrow" w:hAnsi="Arial" w:cs="Arial"/>
                <w:b/>
                <w:sz w:val="18"/>
                <w:szCs w:val="18"/>
              </w:rPr>
            </w:pPr>
            <w:r w:rsidRPr="004C4F6D">
              <w:rPr>
                <w:rFonts w:ascii="Arial" w:eastAsia="Arial Narrow" w:hAnsi="Arial" w:cs="Arial"/>
                <w:b/>
                <w:sz w:val="18"/>
                <w:szCs w:val="18"/>
              </w:rPr>
              <w:t>106,277,997.54</w:t>
            </w:r>
          </w:p>
        </w:tc>
      </w:tr>
    </w:tbl>
    <w:p w14:paraId="2617A5BB" w14:textId="626E0A83" w:rsidR="00F218B3"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32962CA4" w14:textId="6E6DD9FC" w:rsidR="00E1689F" w:rsidRDefault="00E1689F"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07509947" w14:textId="74D4518B" w:rsidR="00E1689F" w:rsidRDefault="00E1689F"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10492FDE" w14:textId="34FB7EFF" w:rsidR="00E1689F" w:rsidRDefault="00E1689F"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2F43CC49" w14:textId="2EE9D589" w:rsidR="00E1689F" w:rsidRDefault="00E1689F"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5BB1C142" w14:textId="04F3689E" w:rsidR="00E1689F" w:rsidRDefault="00E1689F"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09012B2A" w14:textId="77777777" w:rsidR="00E1689F" w:rsidRPr="004C4F6D" w:rsidRDefault="00E1689F"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743DB964" w14:textId="6E9E9FD3" w:rsidR="00F218B3" w:rsidRPr="004C4F6D" w:rsidRDefault="00F218B3" w:rsidP="004C4F6D">
      <w:pPr>
        <w:pStyle w:val="ListParagraph"/>
        <w:numPr>
          <w:ilvl w:val="1"/>
          <w:numId w:val="38"/>
        </w:numPr>
        <w:autoSpaceDE w:val="0"/>
        <w:autoSpaceDN w:val="0"/>
        <w:adjustRightInd w:val="0"/>
        <w:spacing w:after="0" w:line="240" w:lineRule="auto"/>
        <w:ind w:left="0" w:firstLine="0"/>
        <w:jc w:val="both"/>
        <w:rPr>
          <w:rFonts w:ascii="Arial" w:eastAsia="Arial Narrow" w:hAnsi="Arial" w:cs="Arial"/>
          <w:bCs/>
          <w:iCs/>
          <w:lang w:val="en-US"/>
        </w:rPr>
      </w:pPr>
      <w:r w:rsidRPr="004C4F6D">
        <w:rPr>
          <w:rFonts w:ascii="Arial" w:eastAsia="Arial Narrow" w:hAnsi="Arial" w:cs="Arial"/>
        </w:rPr>
        <w:lastRenderedPageBreak/>
        <w:t>Subsequently, the following reclassifications were made in the CY 2022 FS</w:t>
      </w:r>
      <w:r w:rsidRPr="004C4F6D">
        <w:rPr>
          <w:rFonts w:ascii="Arial" w:eastAsia="Arial Narrow" w:hAnsi="Arial" w:cs="Arial"/>
          <w:bCs/>
          <w:iCs/>
          <w:lang w:val="en-US"/>
        </w:rPr>
        <w:t>:</w:t>
      </w:r>
    </w:p>
    <w:p w14:paraId="7EFE35F3" w14:textId="77777777" w:rsidR="00F218B3" w:rsidRPr="004C4F6D" w:rsidRDefault="00F218B3" w:rsidP="004C4F6D">
      <w:pPr>
        <w:pStyle w:val="ListParagraph"/>
        <w:autoSpaceDE w:val="0"/>
        <w:autoSpaceDN w:val="0"/>
        <w:adjustRightInd w:val="0"/>
        <w:spacing w:after="0" w:line="240" w:lineRule="auto"/>
        <w:ind w:left="0"/>
        <w:jc w:val="both"/>
        <w:rPr>
          <w:rFonts w:ascii="Arial" w:eastAsia="Arial Narrow" w:hAnsi="Arial" w:cs="Arial"/>
          <w:bCs/>
          <w:iCs/>
          <w:lang w:val="en-US"/>
        </w:rPr>
      </w:pPr>
    </w:p>
    <w:p w14:paraId="79689898" w14:textId="77777777" w:rsidR="00F218B3" w:rsidRPr="004C4F6D" w:rsidRDefault="00F218B3" w:rsidP="004C4F6D">
      <w:pPr>
        <w:keepLines/>
        <w:widowControl w:val="0"/>
        <w:spacing w:after="0" w:line="240" w:lineRule="auto"/>
        <w:ind w:leftChars="322" w:left="708"/>
        <w:jc w:val="both"/>
        <w:rPr>
          <w:rFonts w:ascii="Arial" w:eastAsia="Arial Narrow" w:hAnsi="Arial" w:cs="Arial"/>
        </w:rPr>
      </w:pPr>
      <w:r w:rsidRPr="004C4F6D">
        <w:rPr>
          <w:rFonts w:ascii="Arial" w:eastAsia="Arial Narrow" w:hAnsi="Arial" w:cs="Arial"/>
        </w:rPr>
        <w:t>Accounts Payable</w:t>
      </w:r>
      <w:r w:rsidRPr="004C4F6D">
        <w:rPr>
          <w:rFonts w:ascii="Arial" w:eastAsia="Arial Narrow" w:hAnsi="Arial" w:cs="Arial"/>
        </w:rPr>
        <w:tab/>
      </w:r>
      <w:r w:rsidRPr="004C4F6D">
        <w:rPr>
          <w:rFonts w:ascii="Arial" w:eastAsia="Arial Narrow" w:hAnsi="Arial" w:cs="Arial"/>
        </w:rPr>
        <w:tab/>
      </w:r>
      <w:r w:rsidRPr="004C4F6D">
        <w:rPr>
          <w:rFonts w:ascii="Arial" w:eastAsia="Arial Narrow" w:hAnsi="Arial" w:cs="Arial"/>
        </w:rPr>
        <w:tab/>
      </w:r>
      <w:r w:rsidRPr="004C4F6D">
        <w:rPr>
          <w:rFonts w:ascii="Arial" w:eastAsia="Arial Narrow" w:hAnsi="Arial" w:cs="Arial"/>
        </w:rPr>
        <w:tab/>
        <w:t xml:space="preserve">   88,330,665.70</w:t>
      </w:r>
    </w:p>
    <w:p w14:paraId="3CB30005" w14:textId="77777777" w:rsidR="00F218B3" w:rsidRPr="004C4F6D" w:rsidRDefault="00F218B3" w:rsidP="004C4F6D">
      <w:pPr>
        <w:keepLines/>
        <w:widowControl w:val="0"/>
        <w:spacing w:after="0" w:line="240" w:lineRule="auto"/>
        <w:ind w:leftChars="322" w:left="708"/>
        <w:jc w:val="both"/>
        <w:rPr>
          <w:rFonts w:ascii="Arial" w:eastAsia="Arial Narrow" w:hAnsi="Arial" w:cs="Arial"/>
        </w:rPr>
      </w:pPr>
      <w:r w:rsidRPr="004C4F6D">
        <w:rPr>
          <w:rFonts w:ascii="Arial" w:eastAsia="Arial Narrow" w:hAnsi="Arial" w:cs="Arial"/>
        </w:rPr>
        <w:t>Other Office Equipment</w:t>
      </w:r>
      <w:r w:rsidRPr="004C4F6D">
        <w:rPr>
          <w:rFonts w:ascii="Arial" w:eastAsia="Arial Narrow" w:hAnsi="Arial" w:cs="Arial"/>
        </w:rPr>
        <w:tab/>
      </w:r>
      <w:r w:rsidRPr="004C4F6D">
        <w:rPr>
          <w:rFonts w:ascii="Arial" w:eastAsia="Arial Narrow" w:hAnsi="Arial" w:cs="Arial"/>
        </w:rPr>
        <w:tab/>
      </w:r>
      <w:r w:rsidRPr="004C4F6D">
        <w:rPr>
          <w:rFonts w:ascii="Arial" w:eastAsia="Arial Narrow" w:hAnsi="Arial" w:cs="Arial"/>
        </w:rPr>
        <w:tab/>
        <w:t xml:space="preserve">     3,060,118.00</w:t>
      </w:r>
    </w:p>
    <w:p w14:paraId="3A14A2F2" w14:textId="77777777" w:rsidR="00F218B3" w:rsidRPr="004C4F6D" w:rsidRDefault="00F218B3" w:rsidP="004C4F6D">
      <w:pPr>
        <w:keepLines/>
        <w:widowControl w:val="0"/>
        <w:spacing w:after="0" w:line="240" w:lineRule="auto"/>
        <w:ind w:leftChars="322" w:left="708"/>
        <w:jc w:val="both"/>
        <w:rPr>
          <w:rFonts w:ascii="Arial" w:eastAsia="Arial Narrow" w:hAnsi="Arial" w:cs="Arial"/>
        </w:rPr>
      </w:pPr>
      <w:r w:rsidRPr="004C4F6D">
        <w:rPr>
          <w:rFonts w:ascii="Arial" w:eastAsia="Arial Narrow" w:hAnsi="Arial" w:cs="Arial"/>
        </w:rPr>
        <w:t xml:space="preserve">Other Intangible Assets                          </w:t>
      </w:r>
      <w:r w:rsidRPr="004C4F6D">
        <w:rPr>
          <w:rFonts w:ascii="Arial" w:eastAsia="Arial Narrow" w:hAnsi="Arial" w:cs="Arial"/>
          <w:lang w:val="en-US"/>
        </w:rPr>
        <w:t xml:space="preserve">            </w:t>
      </w:r>
      <w:r w:rsidRPr="004C4F6D">
        <w:rPr>
          <w:rFonts w:ascii="Arial" w:eastAsia="Arial Narrow" w:hAnsi="Arial" w:cs="Arial"/>
        </w:rPr>
        <w:t>5,175,000.00</w:t>
      </w:r>
    </w:p>
    <w:p w14:paraId="44BC03AB" w14:textId="77777777" w:rsidR="00F218B3" w:rsidRPr="004C4F6D" w:rsidRDefault="00F218B3" w:rsidP="004C4F6D">
      <w:pPr>
        <w:keepLines/>
        <w:widowControl w:val="0"/>
        <w:spacing w:after="0" w:line="240" w:lineRule="auto"/>
        <w:ind w:leftChars="322" w:left="708"/>
        <w:jc w:val="both"/>
        <w:rPr>
          <w:rFonts w:ascii="Arial" w:eastAsia="Arial Narrow" w:hAnsi="Arial" w:cs="Arial"/>
        </w:rPr>
      </w:pPr>
      <w:r w:rsidRPr="004C4F6D">
        <w:rPr>
          <w:rFonts w:ascii="Arial" w:eastAsia="Arial Narrow" w:hAnsi="Arial" w:cs="Arial"/>
        </w:rPr>
        <w:t>Stationery &amp; Supplies Used</w:t>
      </w:r>
      <w:r w:rsidRPr="004C4F6D">
        <w:rPr>
          <w:rFonts w:ascii="Arial" w:eastAsia="Arial Narrow" w:hAnsi="Arial" w:cs="Arial"/>
        </w:rPr>
        <w:tab/>
      </w:r>
      <w:r w:rsidRPr="004C4F6D">
        <w:rPr>
          <w:rFonts w:ascii="Arial" w:eastAsia="Arial Narrow" w:hAnsi="Arial" w:cs="Arial"/>
        </w:rPr>
        <w:tab/>
      </w:r>
      <w:r w:rsidRPr="004C4F6D">
        <w:rPr>
          <w:rFonts w:ascii="Arial" w:eastAsia="Arial Narrow" w:hAnsi="Arial" w:cs="Arial"/>
        </w:rPr>
        <w:tab/>
        <w:t xml:space="preserve">          43,340.00</w:t>
      </w:r>
    </w:p>
    <w:p w14:paraId="7BE58438" w14:textId="77777777" w:rsidR="00F218B3" w:rsidRPr="004C4F6D" w:rsidRDefault="00F218B3" w:rsidP="004C4F6D">
      <w:pPr>
        <w:keepLines/>
        <w:widowControl w:val="0"/>
        <w:spacing w:after="0" w:line="240" w:lineRule="auto"/>
        <w:ind w:leftChars="322" w:left="708"/>
        <w:jc w:val="both"/>
        <w:rPr>
          <w:rFonts w:ascii="Arial" w:eastAsia="Arial Narrow" w:hAnsi="Arial" w:cs="Arial"/>
        </w:rPr>
      </w:pPr>
      <w:r w:rsidRPr="004C4F6D">
        <w:rPr>
          <w:rFonts w:ascii="Arial" w:eastAsia="Arial Narrow" w:hAnsi="Arial" w:cs="Arial"/>
        </w:rPr>
        <w:t xml:space="preserve">IT equipment                                         </w:t>
      </w:r>
      <w:r w:rsidRPr="004C4F6D">
        <w:rPr>
          <w:rFonts w:ascii="Arial" w:eastAsia="Arial Narrow" w:hAnsi="Arial" w:cs="Arial"/>
          <w:lang w:val="en-US"/>
        </w:rPr>
        <w:t xml:space="preserve">     </w:t>
      </w:r>
      <w:r w:rsidRPr="004C4F6D">
        <w:rPr>
          <w:rFonts w:ascii="Arial" w:eastAsia="Arial Narrow" w:hAnsi="Arial" w:cs="Arial"/>
        </w:rPr>
        <w:t xml:space="preserve">         5,612,800.00</w:t>
      </w:r>
    </w:p>
    <w:p w14:paraId="2F0E5507" w14:textId="77777777" w:rsidR="00F218B3" w:rsidRPr="004C4F6D" w:rsidRDefault="00F218B3" w:rsidP="004C4F6D">
      <w:pPr>
        <w:keepLines/>
        <w:widowControl w:val="0"/>
        <w:spacing w:after="0" w:line="240" w:lineRule="auto"/>
        <w:ind w:leftChars="322" w:left="708"/>
        <w:jc w:val="both"/>
        <w:rPr>
          <w:rFonts w:ascii="Arial" w:eastAsia="Arial Narrow" w:hAnsi="Arial" w:cs="Arial"/>
        </w:rPr>
      </w:pPr>
      <w:r w:rsidRPr="004C4F6D">
        <w:rPr>
          <w:rFonts w:ascii="Arial" w:eastAsia="Arial Narrow" w:hAnsi="Arial" w:cs="Arial"/>
        </w:rPr>
        <w:t>Leasehold rights &amp; Improvement</w:t>
      </w:r>
      <w:r w:rsidRPr="004C4F6D">
        <w:rPr>
          <w:rFonts w:ascii="Arial" w:eastAsia="Arial Narrow" w:hAnsi="Arial" w:cs="Arial"/>
        </w:rPr>
        <w:tab/>
        <w:t xml:space="preserve">                 4,056,073.84</w:t>
      </w:r>
    </w:p>
    <w:p w14:paraId="53E0AA9C" w14:textId="77777777" w:rsidR="00F218B3" w:rsidRPr="004C4F6D" w:rsidRDefault="00F218B3" w:rsidP="004C4F6D">
      <w:pPr>
        <w:keepLines/>
        <w:widowControl w:val="0"/>
        <w:spacing w:after="0" w:line="240" w:lineRule="auto"/>
        <w:ind w:leftChars="322" w:left="708" w:right="7"/>
        <w:jc w:val="both"/>
        <w:rPr>
          <w:rFonts w:ascii="Arial" w:eastAsia="Arial Narrow" w:hAnsi="Arial" w:cs="Arial"/>
        </w:rPr>
      </w:pPr>
      <w:r w:rsidRPr="004C4F6D">
        <w:rPr>
          <w:rFonts w:ascii="Arial" w:eastAsia="Arial Narrow" w:hAnsi="Arial" w:cs="Arial"/>
        </w:rPr>
        <w:t xml:space="preserve">     </w:t>
      </w:r>
      <w:r w:rsidRPr="004C4F6D">
        <w:rPr>
          <w:rFonts w:ascii="Arial" w:eastAsia="Arial Narrow" w:hAnsi="Arial" w:cs="Arial"/>
        </w:rPr>
        <w:tab/>
        <w:t xml:space="preserve">Furniture and Fixtures               </w:t>
      </w:r>
      <w:r w:rsidRPr="004C4F6D">
        <w:rPr>
          <w:rFonts w:ascii="Arial" w:eastAsia="Arial Narrow" w:hAnsi="Arial" w:cs="Arial"/>
        </w:rPr>
        <w:tab/>
        <w:t xml:space="preserve">                               106,277,997.54</w:t>
      </w:r>
    </w:p>
    <w:p w14:paraId="6CFDFDEF" w14:textId="77777777" w:rsidR="00F218B3" w:rsidRPr="004C4F6D" w:rsidRDefault="00F218B3" w:rsidP="004C4F6D">
      <w:pPr>
        <w:keepLines/>
        <w:widowControl w:val="0"/>
        <w:spacing w:after="0" w:line="240" w:lineRule="auto"/>
        <w:ind w:leftChars="322" w:left="708" w:right="7"/>
        <w:jc w:val="both"/>
        <w:rPr>
          <w:rFonts w:ascii="Arial" w:eastAsia="Arial Narrow" w:hAnsi="Arial" w:cs="Arial"/>
        </w:rPr>
      </w:pPr>
    </w:p>
    <w:p w14:paraId="67039CCD" w14:textId="77777777" w:rsidR="00F218B3" w:rsidRPr="004C4F6D" w:rsidRDefault="00F218B3" w:rsidP="004C4F6D">
      <w:pPr>
        <w:keepLines/>
        <w:widowControl w:val="0"/>
        <w:spacing w:after="0" w:line="240" w:lineRule="auto"/>
        <w:ind w:leftChars="322" w:left="708" w:right="7"/>
        <w:jc w:val="both"/>
        <w:rPr>
          <w:rFonts w:ascii="Arial" w:eastAsia="Arial Narrow" w:hAnsi="Arial" w:cs="Arial"/>
        </w:rPr>
      </w:pPr>
    </w:p>
    <w:p w14:paraId="10A362BB" w14:textId="77777777" w:rsidR="00F218B3" w:rsidRPr="004C4F6D" w:rsidRDefault="00F218B3" w:rsidP="004C4F6D">
      <w:pPr>
        <w:autoSpaceDE w:val="0"/>
        <w:autoSpaceDN w:val="0"/>
        <w:adjustRightInd w:val="0"/>
        <w:spacing w:after="0" w:line="240" w:lineRule="auto"/>
        <w:jc w:val="both"/>
        <w:rPr>
          <w:rFonts w:ascii="Arial" w:eastAsia="Arial Narrow" w:hAnsi="Arial" w:cs="Arial"/>
          <w:bCs/>
          <w:iCs/>
          <w:lang w:val="en-US"/>
        </w:rPr>
      </w:pPr>
      <w:r w:rsidRPr="004C4F6D">
        <w:rPr>
          <w:rFonts w:ascii="Arial" w:eastAsia="Arial Narrow" w:hAnsi="Arial" w:cs="Arial"/>
        </w:rPr>
        <w:t>3.23</w:t>
      </w:r>
      <w:r w:rsidRPr="004C4F6D">
        <w:rPr>
          <w:rFonts w:ascii="Arial" w:eastAsia="Arial Narrow" w:hAnsi="Arial" w:cs="Arial"/>
        </w:rPr>
        <w:tab/>
        <w:t xml:space="preserve">However, the existence of the items adjusted above, remain for validation.  Management is awaiting for the responses from absorbing units and vendor, including confirmation with vendors whether there is an existing payable formerly by UCPB, now LBP, as of December 31, 2022 and the information that the properties were already delivered as of December 31, 2022 to be properly recognized as the Bank’s property. </w:t>
      </w:r>
    </w:p>
    <w:p w14:paraId="670F55E1" w14:textId="77777777" w:rsidR="00F218B3" w:rsidRPr="004C4F6D" w:rsidRDefault="00F218B3" w:rsidP="004C4F6D">
      <w:pPr>
        <w:pStyle w:val="ListParagraph"/>
        <w:autoSpaceDE w:val="0"/>
        <w:autoSpaceDN w:val="0"/>
        <w:adjustRightInd w:val="0"/>
        <w:spacing w:after="0" w:line="240" w:lineRule="auto"/>
        <w:jc w:val="both"/>
        <w:rPr>
          <w:rFonts w:ascii="Arial" w:eastAsia="Arial Narrow" w:hAnsi="Arial" w:cs="Arial"/>
          <w:bCs/>
          <w:iCs/>
          <w:lang w:val="en-US"/>
        </w:rPr>
      </w:pPr>
    </w:p>
    <w:p w14:paraId="525E908C" w14:textId="77777777" w:rsidR="00F218B3" w:rsidRPr="004C4F6D" w:rsidRDefault="00F218B3" w:rsidP="004C4F6D">
      <w:pPr>
        <w:pStyle w:val="ListParagraph"/>
        <w:numPr>
          <w:ilvl w:val="1"/>
          <w:numId w:val="3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 xml:space="preserve">Management further informed that the AAD sent memoranda on March 27, 2023 to the absorbing units (FMD, Procurement Department, Project Management and Engineering Department, and Technology Management Group) requesting information on the validity of Accounts Payable identified under their unit and the submission of recommendation on the disposition of the same as basis of requesting approval for its reversal. The AAD is in the process of </w:t>
      </w:r>
      <w:r w:rsidRPr="004C4F6D">
        <w:rPr>
          <w:rFonts w:ascii="Arial" w:hAnsi="Arial" w:cs="Arial"/>
        </w:rPr>
        <w:t>retrieval of documents previously paid by the UCPB as basis of reversal to appropriate accounts.  Responses to these call for action are on-going and have yet to be completed.</w:t>
      </w:r>
    </w:p>
    <w:p w14:paraId="10DC35B6" w14:textId="77777777" w:rsidR="00F218B3" w:rsidRPr="004C4F6D" w:rsidRDefault="00F218B3" w:rsidP="004C4F6D">
      <w:pPr>
        <w:pStyle w:val="ListParagraph"/>
        <w:autoSpaceDE w:val="0"/>
        <w:autoSpaceDN w:val="0"/>
        <w:adjustRightInd w:val="0"/>
        <w:spacing w:after="0" w:line="240" w:lineRule="auto"/>
        <w:ind w:left="0"/>
        <w:jc w:val="both"/>
        <w:rPr>
          <w:rFonts w:ascii="Arial" w:hAnsi="Arial" w:cs="Arial"/>
        </w:rPr>
      </w:pPr>
    </w:p>
    <w:p w14:paraId="6B053B57" w14:textId="75CF835B" w:rsidR="00F218B3" w:rsidRPr="004C4F6D" w:rsidRDefault="00F218B3" w:rsidP="004C4F6D">
      <w:pPr>
        <w:pStyle w:val="ListParagraph"/>
        <w:numPr>
          <w:ilvl w:val="1"/>
          <w:numId w:val="38"/>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color w:val="000000"/>
        </w:rPr>
        <w:t xml:space="preserve">Contrary to EO Nos. 104 and 105, absorbing units and concerned booking units were not able to establish validity and existence of certain properties prior to the actual merger on March 1, 2022. Validation of existence, inventory and turnover were simultaneously at a date very close to the effective date of merger and discrepancies were not resolved and adjusted in the GL before the merger. This resulted to booked items for which existence cannot be ascertained as of the actual merger date. Management’s </w:t>
      </w:r>
      <w:r w:rsidR="008219E5" w:rsidRPr="004C4F6D">
        <w:rPr>
          <w:rFonts w:ascii="Arial" w:eastAsia="Arial Narrow" w:hAnsi="Arial" w:cs="Arial"/>
          <w:color w:val="000000"/>
        </w:rPr>
        <w:t>validation and</w:t>
      </w:r>
      <w:r w:rsidRPr="004C4F6D">
        <w:rPr>
          <w:rFonts w:ascii="Arial" w:eastAsia="Arial Narrow" w:hAnsi="Arial" w:cs="Arial"/>
          <w:color w:val="000000"/>
        </w:rPr>
        <w:t xml:space="preserve"> reconciliation of items</w:t>
      </w:r>
      <w:r w:rsidR="00003494" w:rsidRPr="004C4F6D">
        <w:rPr>
          <w:rFonts w:ascii="Arial" w:eastAsia="Arial Narrow" w:hAnsi="Arial" w:cs="Arial"/>
          <w:color w:val="000000"/>
        </w:rPr>
        <w:t xml:space="preserve"> </w:t>
      </w:r>
      <w:r w:rsidRPr="004C4F6D">
        <w:rPr>
          <w:rFonts w:ascii="Arial" w:eastAsia="Arial Narrow" w:hAnsi="Arial" w:cs="Arial"/>
          <w:color w:val="000000"/>
        </w:rPr>
        <w:t xml:space="preserve">to establish existence is still on going as of December 31, 2022 and have exceeded the one-year adjustments of provisional amounts from date of the merger, which is until March 2023.  </w:t>
      </w:r>
    </w:p>
    <w:p w14:paraId="42C26999" w14:textId="77777777" w:rsidR="00F218B3" w:rsidRPr="004C4F6D" w:rsidRDefault="00F218B3" w:rsidP="004C4F6D">
      <w:pPr>
        <w:pStyle w:val="ListParagraph"/>
        <w:spacing w:after="0" w:line="240" w:lineRule="auto"/>
        <w:rPr>
          <w:rFonts w:ascii="Arial" w:hAnsi="Arial" w:cs="Arial"/>
        </w:rPr>
      </w:pPr>
    </w:p>
    <w:p w14:paraId="20F50A9E" w14:textId="4C5890F7" w:rsidR="006136AA" w:rsidRDefault="00F218B3" w:rsidP="004C4F6D">
      <w:pPr>
        <w:spacing w:after="0" w:line="240" w:lineRule="auto"/>
        <w:jc w:val="both"/>
        <w:rPr>
          <w:rFonts w:ascii="Arial" w:eastAsia="Arial Narrow" w:hAnsi="Arial" w:cs="Arial"/>
        </w:rPr>
      </w:pPr>
      <w:r w:rsidRPr="004C4F6D">
        <w:rPr>
          <w:rFonts w:ascii="Arial" w:eastAsia="Arial Narrow" w:hAnsi="Arial" w:cs="Arial"/>
        </w:rPr>
        <w:t>3.26</w:t>
      </w:r>
      <w:r w:rsidRPr="004C4F6D">
        <w:rPr>
          <w:rFonts w:ascii="Arial" w:eastAsia="Arial Narrow" w:hAnsi="Arial" w:cs="Arial"/>
        </w:rPr>
        <w:tab/>
        <w:t>In view of the</w:t>
      </w:r>
      <w:r w:rsidR="00003494" w:rsidRPr="004C4F6D">
        <w:rPr>
          <w:rFonts w:ascii="Arial" w:eastAsia="Arial Narrow" w:hAnsi="Arial" w:cs="Arial"/>
        </w:rPr>
        <w:t xml:space="preserve"> </w:t>
      </w:r>
      <w:r w:rsidRPr="004C4F6D">
        <w:rPr>
          <w:rFonts w:ascii="Arial" w:eastAsia="Arial Narrow" w:hAnsi="Arial" w:cs="Arial"/>
        </w:rPr>
        <w:t xml:space="preserve">noted deficiencies, the faithful representation of the balance of </w:t>
      </w:r>
      <w:r w:rsidR="00B2138B">
        <w:rPr>
          <w:rFonts w:ascii="Arial" w:eastAsia="Arial Narrow" w:hAnsi="Arial" w:cs="Arial"/>
        </w:rPr>
        <w:t>BPFFE</w:t>
      </w:r>
      <w:r w:rsidRPr="004C4F6D">
        <w:rPr>
          <w:rFonts w:ascii="Arial" w:eastAsia="Arial Narrow" w:hAnsi="Arial" w:cs="Arial"/>
        </w:rPr>
        <w:t xml:space="preserve"> with net book value amounting to P651.857 million as of December 31, 2022, transferred from UCPB to LBP was not established contrary to paragraph 2.12 of the Conceptual Framework on Financial Reporting</w:t>
      </w:r>
      <w:bookmarkEnd w:id="3"/>
      <w:r w:rsidR="005A581E">
        <w:rPr>
          <w:rFonts w:ascii="Arial" w:eastAsia="Arial Narrow" w:hAnsi="Arial" w:cs="Arial"/>
        </w:rPr>
        <w:t>.</w:t>
      </w:r>
    </w:p>
    <w:p w14:paraId="58CE8EA1" w14:textId="77777777" w:rsidR="005A581E" w:rsidRPr="004C4F6D" w:rsidRDefault="005A581E" w:rsidP="004C4F6D">
      <w:pPr>
        <w:spacing w:after="0" w:line="240" w:lineRule="auto"/>
        <w:jc w:val="both"/>
        <w:rPr>
          <w:rFonts w:ascii="Arial" w:hAnsi="Arial" w:cs="Arial"/>
        </w:rPr>
      </w:pPr>
    </w:p>
    <w:p w14:paraId="4F6EC288" w14:textId="6657D636" w:rsidR="00312FC6" w:rsidRPr="004C4F6D" w:rsidRDefault="003919DE" w:rsidP="004C4F6D">
      <w:pPr>
        <w:pStyle w:val="ListParagraph"/>
        <w:numPr>
          <w:ilvl w:val="1"/>
          <w:numId w:val="39"/>
        </w:numPr>
        <w:autoSpaceDE w:val="0"/>
        <w:autoSpaceDN w:val="0"/>
        <w:adjustRightInd w:val="0"/>
        <w:spacing w:after="0" w:line="240" w:lineRule="auto"/>
        <w:jc w:val="both"/>
        <w:rPr>
          <w:rFonts w:ascii="Arial" w:hAnsi="Arial" w:cs="Arial"/>
          <w:b/>
        </w:rPr>
      </w:pPr>
      <w:r w:rsidRPr="004C4F6D">
        <w:rPr>
          <w:rFonts w:ascii="Arial" w:hAnsi="Arial" w:cs="Arial"/>
          <w:b/>
        </w:rPr>
        <w:t>We recommended and Management agreed to:</w:t>
      </w:r>
    </w:p>
    <w:p w14:paraId="6729CA4C" w14:textId="77777777" w:rsidR="00312FC6" w:rsidRPr="004C4F6D" w:rsidRDefault="00312FC6" w:rsidP="004C4F6D">
      <w:pPr>
        <w:pStyle w:val="ListParagraph"/>
        <w:spacing w:after="0" w:line="240" w:lineRule="auto"/>
        <w:rPr>
          <w:rFonts w:ascii="Arial" w:hAnsi="Arial" w:cs="Arial"/>
          <w:b/>
        </w:rPr>
      </w:pPr>
    </w:p>
    <w:p w14:paraId="5D6AFFF3" w14:textId="69F5269C" w:rsidR="001B77F9" w:rsidRPr="004C4F6D" w:rsidRDefault="001B77F9" w:rsidP="004C4F6D">
      <w:pPr>
        <w:pStyle w:val="ListParagraph"/>
        <w:numPr>
          <w:ilvl w:val="4"/>
          <w:numId w:val="15"/>
        </w:numPr>
        <w:spacing w:after="0" w:line="240" w:lineRule="auto"/>
        <w:ind w:left="709" w:right="7" w:firstLine="0"/>
        <w:jc w:val="both"/>
        <w:rPr>
          <w:rFonts w:ascii="Arial" w:eastAsia="Arial Narrow" w:hAnsi="Arial" w:cs="Arial"/>
          <w:b/>
          <w:bCs/>
        </w:rPr>
      </w:pPr>
      <w:bookmarkStart w:id="4" w:name="_Hlk144883763"/>
      <w:r w:rsidRPr="004C4F6D">
        <w:rPr>
          <w:rFonts w:ascii="Arial" w:eastAsia="Arial Narrow" w:hAnsi="Arial"/>
          <w:b/>
        </w:rPr>
        <w:t xml:space="preserve">Conduct physical </w:t>
      </w:r>
      <w:r w:rsidR="009117B5" w:rsidRPr="004C4F6D">
        <w:rPr>
          <w:rFonts w:ascii="Arial" w:eastAsia="Arial Narrow" w:hAnsi="Arial"/>
          <w:b/>
        </w:rPr>
        <w:t>inve</w:t>
      </w:r>
      <w:r w:rsidR="00FA0A7C" w:rsidRPr="004C4F6D">
        <w:rPr>
          <w:rFonts w:ascii="Arial" w:eastAsia="Arial Narrow" w:hAnsi="Arial"/>
          <w:b/>
        </w:rPr>
        <w:t>n</w:t>
      </w:r>
      <w:r w:rsidR="009117B5" w:rsidRPr="004C4F6D">
        <w:rPr>
          <w:rFonts w:ascii="Arial" w:eastAsia="Arial Narrow" w:hAnsi="Arial"/>
          <w:b/>
        </w:rPr>
        <w:t xml:space="preserve">tory to determine </w:t>
      </w:r>
      <w:r w:rsidR="002F1504" w:rsidRPr="004C4F6D">
        <w:rPr>
          <w:rFonts w:ascii="Arial" w:eastAsia="Arial Narrow" w:hAnsi="Arial"/>
          <w:b/>
        </w:rPr>
        <w:t>the current</w:t>
      </w:r>
      <w:r w:rsidRPr="004C4F6D">
        <w:rPr>
          <w:rFonts w:ascii="Arial" w:eastAsia="Arial Narrow" w:hAnsi="Arial"/>
          <w:b/>
        </w:rPr>
        <w:t xml:space="preserve"> </w:t>
      </w:r>
      <w:r w:rsidR="003919DE" w:rsidRPr="004C4F6D">
        <w:rPr>
          <w:rFonts w:ascii="Arial" w:eastAsia="Arial Narrow" w:hAnsi="Arial"/>
          <w:b/>
        </w:rPr>
        <w:t xml:space="preserve">actual physical location of properties </w:t>
      </w:r>
      <w:r w:rsidRPr="004C4F6D">
        <w:rPr>
          <w:rFonts w:ascii="Arial" w:eastAsia="Arial Narrow" w:hAnsi="Arial"/>
          <w:b/>
        </w:rPr>
        <w:t>transferred from the UCPB to the LBP,</w:t>
      </w:r>
      <w:r w:rsidR="00003494" w:rsidRPr="004C4F6D">
        <w:rPr>
          <w:rFonts w:ascii="Arial" w:eastAsia="Arial Narrow" w:hAnsi="Arial"/>
          <w:b/>
        </w:rPr>
        <w:t xml:space="preserve"> </w:t>
      </w:r>
      <w:r w:rsidR="009117B5" w:rsidRPr="004C4F6D">
        <w:rPr>
          <w:rFonts w:ascii="Arial" w:eastAsia="Arial Narrow" w:hAnsi="Arial"/>
          <w:b/>
        </w:rPr>
        <w:t>as</w:t>
      </w:r>
      <w:r w:rsidRPr="004C4F6D">
        <w:rPr>
          <w:rFonts w:ascii="Arial" w:eastAsia="Arial Narrow" w:hAnsi="Arial"/>
          <w:b/>
        </w:rPr>
        <w:t xml:space="preserve"> r</w:t>
      </w:r>
      <w:r w:rsidR="003919DE" w:rsidRPr="004C4F6D">
        <w:rPr>
          <w:rFonts w:ascii="Arial" w:eastAsia="Arial Narrow" w:hAnsi="Arial"/>
          <w:b/>
        </w:rPr>
        <w:t xml:space="preserve">eported </w:t>
      </w:r>
      <w:r w:rsidRPr="004C4F6D">
        <w:rPr>
          <w:rFonts w:ascii="Arial" w:eastAsia="Arial Narrow" w:hAnsi="Arial"/>
          <w:b/>
        </w:rPr>
        <w:t xml:space="preserve">by the FMD to FAD-ATU in the </w:t>
      </w:r>
      <w:r w:rsidRPr="004C4F6D">
        <w:rPr>
          <w:rFonts w:ascii="Arial" w:eastAsia="Arial Narrow" w:hAnsi="Arial" w:cs="Arial"/>
          <w:b/>
          <w:bCs/>
        </w:rPr>
        <w:t>Schedule of HO Unlocated Fixed Assets, Schedule of HO Vehicles Not Physically Accounted and Schedule of HO Fixed Assets – Equipment Which Existence Were Not Validated</w:t>
      </w:r>
      <w:bookmarkEnd w:id="4"/>
      <w:r w:rsidRPr="004C4F6D">
        <w:rPr>
          <w:rFonts w:ascii="Arial" w:eastAsia="Arial Narrow" w:hAnsi="Arial" w:cs="Arial"/>
          <w:b/>
          <w:bCs/>
        </w:rPr>
        <w:t>;</w:t>
      </w:r>
    </w:p>
    <w:p w14:paraId="0AD60508" w14:textId="77777777" w:rsidR="00B55E06" w:rsidRPr="004C4F6D" w:rsidRDefault="00B55E06" w:rsidP="004C4F6D">
      <w:pPr>
        <w:pStyle w:val="ListParagraph"/>
        <w:spacing w:after="0" w:line="240" w:lineRule="auto"/>
        <w:ind w:left="5301" w:right="7"/>
        <w:jc w:val="both"/>
        <w:rPr>
          <w:rFonts w:ascii="Arial" w:eastAsia="Arial Narrow" w:hAnsi="Arial" w:cs="Arial"/>
          <w:b/>
          <w:bCs/>
        </w:rPr>
      </w:pPr>
    </w:p>
    <w:p w14:paraId="654806CE" w14:textId="0DBCBD54" w:rsidR="00312FC6" w:rsidRPr="004C4F6D" w:rsidRDefault="003919DE" w:rsidP="004C4F6D">
      <w:pPr>
        <w:pStyle w:val="ListParagraph"/>
        <w:numPr>
          <w:ilvl w:val="4"/>
          <w:numId w:val="15"/>
        </w:numPr>
        <w:spacing w:after="0" w:line="240" w:lineRule="auto"/>
        <w:ind w:left="709" w:right="7" w:firstLine="0"/>
        <w:jc w:val="both"/>
        <w:rPr>
          <w:rFonts w:ascii="Arial" w:eastAsia="Arial Narrow" w:hAnsi="Arial" w:cs="Arial"/>
          <w:b/>
        </w:rPr>
      </w:pPr>
      <w:bookmarkStart w:id="5" w:name="_Hlk144883782"/>
      <w:r w:rsidRPr="004C4F6D">
        <w:rPr>
          <w:rFonts w:ascii="Arial" w:eastAsia="Arial Narrow" w:hAnsi="Arial"/>
          <w:b/>
        </w:rPr>
        <w:t>Reconcile results of physical inspection with the subsidiary ledger balances and prepare necessary adjustments, if any;</w:t>
      </w:r>
      <w:r w:rsidR="007B5C78" w:rsidRPr="004C4F6D">
        <w:rPr>
          <w:rFonts w:ascii="Arial" w:eastAsia="Arial Narrow" w:hAnsi="Arial"/>
          <w:b/>
        </w:rPr>
        <w:t xml:space="preserve"> and</w:t>
      </w:r>
    </w:p>
    <w:p w14:paraId="2824750A" w14:textId="03A6F5EC" w:rsidR="00312FC6" w:rsidRPr="004C4F6D" w:rsidRDefault="007B5C78" w:rsidP="004C4F6D">
      <w:pPr>
        <w:pStyle w:val="ListParagraph"/>
        <w:numPr>
          <w:ilvl w:val="4"/>
          <w:numId w:val="15"/>
        </w:numPr>
        <w:spacing w:after="0" w:line="240" w:lineRule="auto"/>
        <w:ind w:left="709" w:right="7" w:firstLine="0"/>
        <w:jc w:val="both"/>
        <w:rPr>
          <w:rFonts w:ascii="Arial" w:eastAsia="Arial Narrow" w:hAnsi="Arial" w:cs="Arial"/>
          <w:b/>
        </w:rPr>
      </w:pPr>
      <w:bookmarkStart w:id="6" w:name="_Hlk144883836"/>
      <w:bookmarkEnd w:id="5"/>
      <w:r w:rsidRPr="004C4F6D">
        <w:rPr>
          <w:rFonts w:ascii="Arial" w:eastAsia="Arial Narrow" w:hAnsi="Arial"/>
          <w:b/>
        </w:rPr>
        <w:lastRenderedPageBreak/>
        <w:t xml:space="preserve">On </w:t>
      </w:r>
      <w:r w:rsidR="003919DE" w:rsidRPr="004C4F6D">
        <w:rPr>
          <w:rFonts w:ascii="Arial" w:eastAsia="Arial Narrow" w:hAnsi="Arial"/>
          <w:b/>
        </w:rPr>
        <w:t xml:space="preserve">the </w:t>
      </w:r>
      <w:r w:rsidRPr="004C4F6D">
        <w:rPr>
          <w:rFonts w:ascii="Arial" w:eastAsia="Arial Narrow" w:hAnsi="Arial"/>
          <w:b/>
        </w:rPr>
        <w:t>accrual of capital expenditures</w:t>
      </w:r>
      <w:r w:rsidR="003919DE" w:rsidRPr="004C4F6D">
        <w:rPr>
          <w:rFonts w:ascii="Arial" w:eastAsia="Arial Narrow" w:hAnsi="Arial"/>
          <w:b/>
        </w:rPr>
        <w:t>:</w:t>
      </w:r>
    </w:p>
    <w:bookmarkEnd w:id="6"/>
    <w:p w14:paraId="19AAD6CE" w14:textId="77777777" w:rsidR="00312FC6" w:rsidRPr="004C4F6D" w:rsidRDefault="00312FC6" w:rsidP="004C4F6D">
      <w:pPr>
        <w:spacing w:after="0" w:line="240" w:lineRule="auto"/>
        <w:ind w:left="709"/>
        <w:jc w:val="both"/>
        <w:rPr>
          <w:rFonts w:ascii="Arial" w:eastAsia="Arial Narrow" w:hAnsi="Arial" w:cs="Arial"/>
          <w:b/>
        </w:rPr>
      </w:pPr>
    </w:p>
    <w:p w14:paraId="49FF4BF7" w14:textId="3734FEBB" w:rsidR="00312FC6" w:rsidRPr="004C4F6D" w:rsidRDefault="003919DE" w:rsidP="004C4F6D">
      <w:pPr>
        <w:spacing w:after="0" w:line="240" w:lineRule="auto"/>
        <w:ind w:left="1843" w:hanging="425"/>
        <w:jc w:val="both"/>
        <w:rPr>
          <w:rFonts w:ascii="Arial" w:eastAsia="Arial Narrow" w:hAnsi="Arial" w:cs="Arial"/>
          <w:b/>
        </w:rPr>
      </w:pPr>
      <w:r w:rsidRPr="004C4F6D">
        <w:rPr>
          <w:rFonts w:ascii="Arial" w:eastAsia="Arial Narrow" w:hAnsi="Arial" w:cs="Arial"/>
          <w:b/>
        </w:rPr>
        <w:t xml:space="preserve">i. </w:t>
      </w:r>
      <w:r w:rsidRPr="004C4F6D">
        <w:rPr>
          <w:rFonts w:ascii="Arial" w:eastAsia="Arial Narrow" w:hAnsi="Arial" w:cs="Arial"/>
          <w:b/>
        </w:rPr>
        <w:tab/>
      </w:r>
      <w:bookmarkStart w:id="7" w:name="_Hlk144883869"/>
      <w:r w:rsidR="007B5C78" w:rsidRPr="004C4F6D">
        <w:rPr>
          <w:rFonts w:ascii="Arial" w:eastAsia="Arial Narrow" w:hAnsi="Arial" w:cs="Arial"/>
          <w:b/>
        </w:rPr>
        <w:t>Properties</w:t>
      </w:r>
      <w:r w:rsidRPr="004C4F6D">
        <w:rPr>
          <w:rFonts w:ascii="Arial" w:eastAsia="Arial Narrow" w:hAnsi="Arial" w:cs="Arial"/>
          <w:b/>
        </w:rPr>
        <w:t xml:space="preserve"> which existence has been verified, compute the corresponding depreciation and/or amortization and make the necessary adjustment;</w:t>
      </w:r>
      <w:r w:rsidR="007B5C78" w:rsidRPr="004C4F6D">
        <w:rPr>
          <w:rFonts w:ascii="Arial" w:eastAsia="Arial Narrow" w:hAnsi="Arial" w:cs="Arial"/>
          <w:b/>
        </w:rPr>
        <w:t xml:space="preserve"> and</w:t>
      </w:r>
      <w:bookmarkEnd w:id="7"/>
    </w:p>
    <w:p w14:paraId="6212263C" w14:textId="77777777" w:rsidR="00312FC6" w:rsidRPr="004C4F6D" w:rsidRDefault="00312FC6" w:rsidP="004C4F6D">
      <w:pPr>
        <w:spacing w:after="0" w:line="240" w:lineRule="auto"/>
        <w:ind w:left="1843" w:hanging="425"/>
        <w:jc w:val="both"/>
        <w:rPr>
          <w:rFonts w:ascii="Arial" w:eastAsia="Arial Narrow" w:hAnsi="Arial" w:cs="Arial"/>
          <w:b/>
        </w:rPr>
      </w:pPr>
    </w:p>
    <w:p w14:paraId="6D51AE07" w14:textId="77777777" w:rsidR="00312FC6" w:rsidRPr="004C4F6D" w:rsidRDefault="003919DE" w:rsidP="004C4F6D">
      <w:pPr>
        <w:spacing w:after="0" w:line="240" w:lineRule="auto"/>
        <w:ind w:left="1843" w:hanging="425"/>
        <w:jc w:val="both"/>
        <w:rPr>
          <w:rFonts w:ascii="Arial" w:eastAsia="Arial Narrow" w:hAnsi="Arial" w:cs="Arial"/>
          <w:b/>
        </w:rPr>
      </w:pPr>
      <w:r w:rsidRPr="004C4F6D">
        <w:rPr>
          <w:rFonts w:ascii="Arial" w:eastAsia="Arial Narrow" w:hAnsi="Arial" w:cs="Arial"/>
          <w:b/>
        </w:rPr>
        <w:t xml:space="preserve">ii. </w:t>
      </w:r>
      <w:r w:rsidRPr="004C4F6D">
        <w:rPr>
          <w:rFonts w:ascii="Arial" w:eastAsia="Arial Narrow" w:hAnsi="Arial" w:cs="Arial"/>
          <w:b/>
        </w:rPr>
        <w:tab/>
        <w:t>For payables to be reversed, confirm/coordinate with vendors the non-existence of outstanding balances from UCPB.</w:t>
      </w:r>
    </w:p>
    <w:p w14:paraId="5C2FE7F4" w14:textId="77777777" w:rsidR="00E55181" w:rsidRPr="004C4F6D" w:rsidRDefault="00E55181" w:rsidP="004C4F6D">
      <w:pPr>
        <w:spacing w:after="0" w:line="240" w:lineRule="auto"/>
        <w:ind w:left="1843" w:hanging="425"/>
        <w:jc w:val="both"/>
        <w:rPr>
          <w:rFonts w:ascii="Arial" w:eastAsia="Arial Narrow" w:hAnsi="Arial" w:cs="Arial"/>
          <w:b/>
        </w:rPr>
      </w:pPr>
    </w:p>
    <w:p w14:paraId="6A785AED" w14:textId="31324425" w:rsidR="00312FC6" w:rsidRPr="004C4F6D" w:rsidRDefault="00A57085" w:rsidP="004C4F6D">
      <w:pPr>
        <w:pStyle w:val="ListParagraph"/>
        <w:numPr>
          <w:ilvl w:val="1"/>
          <w:numId w:val="39"/>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hAnsi="Arial" w:cs="Arial"/>
          <w:bCs/>
        </w:rPr>
        <w:t>Management, through</w:t>
      </w:r>
      <w:r w:rsidRPr="004C4F6D">
        <w:rPr>
          <w:rFonts w:ascii="Arial" w:hAnsi="Arial" w:cs="Arial"/>
        </w:rPr>
        <w:t xml:space="preserve"> the AAD, informed that efforts to account for the unreconciled fixed</w:t>
      </w:r>
      <w:r w:rsidRPr="004C4F6D">
        <w:rPr>
          <w:rFonts w:ascii="Arial" w:eastAsia="Arial Narrow" w:hAnsi="Arial" w:cs="Arial"/>
        </w:rPr>
        <w:t xml:space="preserve"> assets from UCPB are on-going.  </w:t>
      </w:r>
      <w:r w:rsidR="003919DE" w:rsidRPr="004C4F6D">
        <w:rPr>
          <w:rFonts w:ascii="Arial" w:eastAsia="Arial Narrow" w:hAnsi="Arial" w:cs="Arial"/>
        </w:rPr>
        <w:t>Continuous coordination is being done with the absorbing units (e.g. ATM operations Service Department, TMG, BBSD)</w:t>
      </w:r>
      <w:r w:rsidR="009117B5" w:rsidRPr="004C4F6D">
        <w:rPr>
          <w:rFonts w:ascii="Arial" w:eastAsia="Arial Narrow" w:hAnsi="Arial" w:cs="Arial"/>
        </w:rPr>
        <w:t xml:space="preserve"> and committed to initiate derecognition activities, if </w:t>
      </w:r>
      <w:r w:rsidR="00003494" w:rsidRPr="004C4F6D">
        <w:rPr>
          <w:rFonts w:ascii="Arial" w:eastAsia="Arial Narrow" w:hAnsi="Arial" w:cs="Arial"/>
        </w:rPr>
        <w:t>warranted.</w:t>
      </w:r>
      <w:r w:rsidR="003919DE" w:rsidRPr="004C4F6D">
        <w:rPr>
          <w:rFonts w:ascii="Arial" w:eastAsia="Arial Narrow" w:hAnsi="Arial" w:cs="Arial"/>
        </w:rPr>
        <w:t xml:space="preserve"> </w:t>
      </w:r>
    </w:p>
    <w:p w14:paraId="26451DF3" w14:textId="77777777" w:rsidR="00312FC6" w:rsidRPr="004C4F6D" w:rsidRDefault="00312FC6" w:rsidP="004C4F6D">
      <w:pPr>
        <w:pStyle w:val="ListParagraph"/>
        <w:autoSpaceDE w:val="0"/>
        <w:autoSpaceDN w:val="0"/>
        <w:adjustRightInd w:val="0"/>
        <w:spacing w:after="0" w:line="240" w:lineRule="auto"/>
        <w:ind w:left="0"/>
        <w:jc w:val="both"/>
        <w:rPr>
          <w:rFonts w:ascii="Arial" w:eastAsia="Arial Narrow" w:hAnsi="Arial" w:cs="Arial"/>
          <w:color w:val="000000"/>
        </w:rPr>
      </w:pPr>
    </w:p>
    <w:p w14:paraId="29207B5D" w14:textId="77777777" w:rsidR="001C57DE" w:rsidRPr="004C4F6D" w:rsidRDefault="001C57DE" w:rsidP="004C4F6D">
      <w:pPr>
        <w:pStyle w:val="ListParagraph"/>
        <w:autoSpaceDE w:val="0"/>
        <w:autoSpaceDN w:val="0"/>
        <w:adjustRightInd w:val="0"/>
        <w:spacing w:after="0" w:line="240" w:lineRule="auto"/>
        <w:ind w:left="0"/>
        <w:jc w:val="both"/>
        <w:rPr>
          <w:rFonts w:ascii="Arial" w:eastAsia="Arial Narrow" w:hAnsi="Arial" w:cs="Arial"/>
          <w:color w:val="000000"/>
        </w:rPr>
      </w:pPr>
    </w:p>
    <w:p w14:paraId="449AC3AD" w14:textId="100F100F" w:rsidR="00312FC6" w:rsidRPr="004C4F6D" w:rsidRDefault="003919DE" w:rsidP="004C4F6D">
      <w:pPr>
        <w:pStyle w:val="ListParagraph"/>
        <w:numPr>
          <w:ilvl w:val="0"/>
          <w:numId w:val="39"/>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hAnsi="Arial"/>
          <w:b/>
        </w:rPr>
        <w:t>The application of the Match Deal Closed Out or Specific identification method in the  allocation of the book value of a group of similar investments classified as Financial Assets at Fair Value through Other Comprehensive Income (FA-FVOCI) and Held-to-Collect (HTC) between the part that was sold and derecognized and the part that continues to be recognized was not consistent with paragraph 3.2.13 PFRS 9 requiring the allocation be based on the fair values of those parts, casting doubt on the balances of the Unrealized Gains/Losses account and  of the Realized Gain/Losses accounts as at December 31, 2022.</w:t>
      </w:r>
    </w:p>
    <w:p w14:paraId="005199DF" w14:textId="77777777" w:rsidR="00312FC6" w:rsidRPr="004C4F6D" w:rsidRDefault="00312FC6" w:rsidP="004C4F6D">
      <w:pPr>
        <w:pStyle w:val="ListParagraph"/>
        <w:autoSpaceDE w:val="0"/>
        <w:autoSpaceDN w:val="0"/>
        <w:adjustRightInd w:val="0"/>
        <w:spacing w:after="0" w:line="240" w:lineRule="auto"/>
        <w:ind w:left="0"/>
        <w:jc w:val="both"/>
        <w:rPr>
          <w:rFonts w:ascii="Arial" w:eastAsia="Arial Narrow" w:hAnsi="Arial" w:cs="Arial"/>
          <w:color w:val="000000"/>
        </w:rPr>
      </w:pPr>
    </w:p>
    <w:p w14:paraId="5588A134" w14:textId="77777777" w:rsidR="00312FC6" w:rsidRPr="004C4F6D" w:rsidRDefault="00312FC6" w:rsidP="004C4F6D">
      <w:pPr>
        <w:pStyle w:val="ListParagraph"/>
        <w:numPr>
          <w:ilvl w:val="0"/>
          <w:numId w:val="39"/>
        </w:numPr>
        <w:autoSpaceDE w:val="0"/>
        <w:autoSpaceDN w:val="0"/>
        <w:adjustRightInd w:val="0"/>
        <w:spacing w:after="0" w:line="240" w:lineRule="auto"/>
        <w:jc w:val="both"/>
        <w:rPr>
          <w:rFonts w:ascii="Arial" w:eastAsia="Arial Narrow" w:hAnsi="Arial" w:cs="Arial"/>
          <w:vanish/>
        </w:rPr>
      </w:pPr>
    </w:p>
    <w:p w14:paraId="3D9BBB82" w14:textId="706CFBD5" w:rsidR="00B55E06" w:rsidRPr="004C4F6D" w:rsidRDefault="003919DE" w:rsidP="004C4F6D">
      <w:pPr>
        <w:pStyle w:val="ListParagraph"/>
        <w:numPr>
          <w:ilvl w:val="1"/>
          <w:numId w:val="35"/>
        </w:numPr>
        <w:autoSpaceDE w:val="0"/>
        <w:autoSpaceDN w:val="0"/>
        <w:adjustRightInd w:val="0"/>
        <w:spacing w:after="0" w:line="240" w:lineRule="auto"/>
        <w:ind w:left="567" w:hanging="567"/>
        <w:jc w:val="both"/>
        <w:rPr>
          <w:rFonts w:ascii="Arial" w:eastAsia="Arial Narrow" w:hAnsi="Arial" w:cs="Arial"/>
          <w:color w:val="000000"/>
        </w:rPr>
      </w:pPr>
      <w:r w:rsidRPr="004C4F6D">
        <w:rPr>
          <w:rFonts w:ascii="Arial" w:eastAsia="Arial Narrow" w:hAnsi="Arial" w:cs="Arial"/>
        </w:rPr>
        <w:t>Paragraph</w:t>
      </w:r>
      <w:r w:rsidRPr="004C4F6D">
        <w:rPr>
          <w:rFonts w:ascii="Arial" w:eastAsia="Arial Narrow" w:hAnsi="Arial" w:cs="Arial"/>
          <w:color w:val="000000"/>
        </w:rPr>
        <w:t xml:space="preserve"> 3.2.13 of Philippine Financial Reporting Standards (PFRS) 9 states:</w:t>
      </w:r>
    </w:p>
    <w:p w14:paraId="2AD2E416" w14:textId="77777777" w:rsidR="00312FC6" w:rsidRPr="004C4F6D" w:rsidRDefault="00312FC6" w:rsidP="004C4F6D">
      <w:pPr>
        <w:pStyle w:val="ListParagraph"/>
        <w:spacing w:after="0" w:line="240" w:lineRule="auto"/>
        <w:ind w:left="0"/>
        <w:jc w:val="both"/>
        <w:rPr>
          <w:rFonts w:ascii="Arial" w:hAnsi="Arial" w:cs="Arial"/>
          <w:lang w:eastAsia="ar-SA"/>
        </w:rPr>
      </w:pPr>
    </w:p>
    <w:p w14:paraId="7784DACF" w14:textId="77777777" w:rsidR="00312FC6" w:rsidRPr="004C4F6D" w:rsidRDefault="003919DE" w:rsidP="004C4F6D">
      <w:pPr>
        <w:tabs>
          <w:tab w:val="left" w:pos="8080"/>
        </w:tabs>
        <w:spacing w:after="0" w:line="240" w:lineRule="auto"/>
        <w:ind w:left="709" w:right="716"/>
        <w:jc w:val="both"/>
        <w:rPr>
          <w:rFonts w:ascii="Arial" w:eastAsia="Arial Narrow" w:hAnsi="Arial" w:cs="Arial"/>
        </w:rPr>
      </w:pPr>
      <w:r w:rsidRPr="004C4F6D">
        <w:rPr>
          <w:rFonts w:ascii="Arial" w:eastAsia="Arial Narrow" w:hAnsi="Arial" w:cs="Arial"/>
          <w:i/>
        </w:rPr>
        <w:t xml:space="preserve">If the transferred asset is part of a larger financial asset and the part transferred qualifies for derecognition in its entirety, the previous carrying amount of the larger financial asset shall be allocated between the part that continues to be recognized and the part that is derecognized, </w:t>
      </w:r>
      <w:r w:rsidRPr="004C4F6D">
        <w:rPr>
          <w:rFonts w:ascii="Arial" w:eastAsia="Arial Narrow" w:hAnsi="Arial" w:cs="Arial"/>
          <w:i/>
          <w:u w:val="single"/>
        </w:rPr>
        <w:t>on the basis of the relative fair values of those parts on the date of transfer</w:t>
      </w:r>
      <w:r w:rsidRPr="004C4F6D">
        <w:rPr>
          <w:rFonts w:ascii="Arial" w:eastAsia="Arial Narrow" w:hAnsi="Arial" w:cs="Arial"/>
          <w:i/>
        </w:rPr>
        <w:t xml:space="preserve">. For this purpose, a retained servicing asset shall be treated as a part that continues to be recognised. The difference between: </w:t>
      </w:r>
    </w:p>
    <w:p w14:paraId="3ECB2798" w14:textId="77777777" w:rsidR="00312FC6" w:rsidRPr="004C4F6D" w:rsidRDefault="00312FC6" w:rsidP="004C4F6D">
      <w:pPr>
        <w:tabs>
          <w:tab w:val="left" w:pos="8505"/>
        </w:tabs>
        <w:spacing w:after="0" w:line="240" w:lineRule="auto"/>
        <w:ind w:left="709" w:right="142"/>
        <w:jc w:val="both"/>
        <w:rPr>
          <w:rFonts w:ascii="Arial" w:eastAsia="Arial Narrow" w:hAnsi="Arial" w:cs="Arial"/>
        </w:rPr>
      </w:pPr>
    </w:p>
    <w:p w14:paraId="12BAB761" w14:textId="77777777" w:rsidR="00312FC6" w:rsidRPr="004C4F6D" w:rsidRDefault="003919DE" w:rsidP="004C4F6D">
      <w:pPr>
        <w:tabs>
          <w:tab w:val="left" w:pos="8080"/>
        </w:tabs>
        <w:spacing w:after="0" w:line="240" w:lineRule="auto"/>
        <w:ind w:left="709" w:right="716"/>
        <w:jc w:val="both"/>
        <w:rPr>
          <w:rFonts w:ascii="Arial" w:eastAsia="Arial Narrow" w:hAnsi="Arial" w:cs="Arial"/>
        </w:rPr>
      </w:pPr>
      <w:r w:rsidRPr="004C4F6D">
        <w:rPr>
          <w:rFonts w:ascii="Arial" w:eastAsia="Arial Narrow" w:hAnsi="Arial" w:cs="Arial"/>
          <w:i/>
        </w:rPr>
        <w:t>(a) the carrying amount (measured at the date of derecognition) allocated to the part derecognised and</w:t>
      </w:r>
    </w:p>
    <w:p w14:paraId="2019D0D1" w14:textId="77777777" w:rsidR="00312FC6" w:rsidRPr="004C4F6D" w:rsidRDefault="00312FC6" w:rsidP="004C4F6D">
      <w:pPr>
        <w:tabs>
          <w:tab w:val="left" w:pos="8505"/>
        </w:tabs>
        <w:spacing w:after="0" w:line="240" w:lineRule="auto"/>
        <w:ind w:left="709" w:right="142"/>
        <w:jc w:val="both"/>
        <w:rPr>
          <w:rFonts w:ascii="Arial" w:eastAsia="Arial Narrow" w:hAnsi="Arial" w:cs="Arial"/>
        </w:rPr>
      </w:pPr>
    </w:p>
    <w:p w14:paraId="196CADD5" w14:textId="77777777" w:rsidR="00312FC6" w:rsidRPr="004C4F6D" w:rsidRDefault="003919DE" w:rsidP="004C4F6D">
      <w:pPr>
        <w:tabs>
          <w:tab w:val="left" w:pos="8080"/>
        </w:tabs>
        <w:spacing w:after="0" w:line="240" w:lineRule="auto"/>
        <w:ind w:left="709" w:right="716"/>
        <w:jc w:val="both"/>
        <w:rPr>
          <w:rFonts w:ascii="Arial" w:eastAsia="Arial Narrow" w:hAnsi="Arial" w:cs="Arial"/>
        </w:rPr>
      </w:pPr>
      <w:r w:rsidRPr="004C4F6D">
        <w:rPr>
          <w:rFonts w:ascii="Arial" w:eastAsia="Arial Narrow" w:hAnsi="Arial" w:cs="Arial"/>
          <w:i/>
        </w:rPr>
        <w:t>(b) the consideration received for the part derecognised (including any new asset obtained less any new liability assumed) shall be recognised in profit or loss.</w:t>
      </w:r>
    </w:p>
    <w:p w14:paraId="795577ED" w14:textId="77777777" w:rsidR="00312FC6" w:rsidRPr="004C4F6D" w:rsidRDefault="003919DE" w:rsidP="004C4F6D">
      <w:pPr>
        <w:tabs>
          <w:tab w:val="left" w:pos="8505"/>
        </w:tabs>
        <w:spacing w:after="0" w:line="240" w:lineRule="auto"/>
        <w:ind w:left="709" w:right="142"/>
        <w:jc w:val="both"/>
        <w:rPr>
          <w:rFonts w:ascii="Arial" w:eastAsia="Arial Narrow" w:hAnsi="Arial" w:cs="Arial"/>
          <w:i/>
          <w:color w:val="000000"/>
        </w:rPr>
      </w:pPr>
      <w:r w:rsidRPr="004C4F6D">
        <w:rPr>
          <w:rFonts w:ascii="Arial" w:eastAsia="Arial Narrow" w:hAnsi="Arial" w:cs="Arial"/>
          <w:i/>
          <w:color w:val="000000"/>
        </w:rPr>
        <w:t>(Emphasis ours)</w:t>
      </w:r>
    </w:p>
    <w:p w14:paraId="5EE6BE19" w14:textId="77777777" w:rsidR="00312FC6" w:rsidRPr="004C4F6D" w:rsidRDefault="00312FC6" w:rsidP="004C4F6D">
      <w:pPr>
        <w:tabs>
          <w:tab w:val="left" w:pos="8505"/>
        </w:tabs>
        <w:spacing w:after="0" w:line="240" w:lineRule="auto"/>
        <w:ind w:right="142"/>
        <w:jc w:val="both"/>
        <w:rPr>
          <w:rFonts w:ascii="Arial" w:eastAsia="Arial Narrow" w:hAnsi="Arial" w:cs="Arial"/>
          <w:color w:val="000000"/>
        </w:rPr>
      </w:pPr>
    </w:p>
    <w:p w14:paraId="5517C0CA" w14:textId="21C6FF74"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color w:val="000000"/>
        </w:rPr>
        <w:t xml:space="preserve">LBP’s assets include financial assets classified as FVOCI and HTC that are </w:t>
      </w:r>
      <w:r w:rsidRPr="004C4F6D">
        <w:rPr>
          <w:rFonts w:ascii="Arial" w:eastAsia="Arial Narrow" w:hAnsi="Arial" w:cs="Arial"/>
        </w:rPr>
        <w:t>measured</w:t>
      </w:r>
      <w:r w:rsidRPr="004C4F6D">
        <w:rPr>
          <w:rFonts w:ascii="Arial" w:eastAsia="Arial Narrow" w:hAnsi="Arial" w:cs="Arial"/>
          <w:color w:val="000000"/>
        </w:rPr>
        <w:t xml:space="preserve"> at fair value and amortised cost, respectively. As at December 31, 2022, the balances of the FA-FVOCI and HTC accounts </w:t>
      </w:r>
      <w:r w:rsidR="00B950CB" w:rsidRPr="004C4F6D">
        <w:rPr>
          <w:rFonts w:ascii="Arial" w:eastAsia="Arial Narrow" w:hAnsi="Arial" w:cs="Arial"/>
          <w:color w:val="000000"/>
        </w:rPr>
        <w:t>amounted to</w:t>
      </w:r>
      <w:r w:rsidRPr="004C4F6D">
        <w:rPr>
          <w:rFonts w:ascii="Arial" w:eastAsia="Arial Narrow" w:hAnsi="Arial" w:cs="Arial"/>
          <w:color w:val="000000"/>
        </w:rPr>
        <w:t xml:space="preserve"> P438,103,688,414.10 and P839,276,929,425.52, respectively. These FVOCI and HTC are subject to the provisions on derecognition above.</w:t>
      </w:r>
    </w:p>
    <w:p w14:paraId="0B4BDAF4" w14:textId="77777777" w:rsidR="00312FC6" w:rsidRPr="004C4F6D" w:rsidRDefault="00312FC6" w:rsidP="004C4F6D">
      <w:pPr>
        <w:pStyle w:val="ListParagraph"/>
        <w:spacing w:after="0" w:line="240" w:lineRule="auto"/>
        <w:ind w:left="0"/>
        <w:jc w:val="both"/>
        <w:rPr>
          <w:rFonts w:ascii="Arial" w:hAnsi="Arial" w:cs="Arial"/>
          <w:lang w:eastAsia="ar-SA"/>
        </w:rPr>
      </w:pPr>
    </w:p>
    <w:p w14:paraId="781B86BF" w14:textId="14927653"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color w:val="000000"/>
        </w:rPr>
        <w:t>In the CY</w:t>
      </w:r>
      <w:r w:rsidR="00AB76A7">
        <w:rPr>
          <w:rFonts w:ascii="Arial" w:eastAsia="Arial Narrow" w:hAnsi="Arial" w:cs="Arial"/>
          <w:color w:val="000000"/>
        </w:rPr>
        <w:t xml:space="preserve"> </w:t>
      </w:r>
      <w:r w:rsidRPr="004C4F6D">
        <w:rPr>
          <w:rFonts w:ascii="Arial" w:eastAsia="Arial Narrow" w:hAnsi="Arial" w:cs="Arial"/>
          <w:color w:val="000000"/>
        </w:rPr>
        <w:t xml:space="preserve">2020 Annual Audit Report (AAR) of LBP, we reported that LBP does not have written criteria, parameter and policy guidelines on the application of “match deal close out” method for the selection of the book value of a group of financial assets as basis </w:t>
      </w:r>
      <w:r w:rsidRPr="004C4F6D">
        <w:rPr>
          <w:rFonts w:ascii="Arial" w:eastAsia="Arial Narrow" w:hAnsi="Arial" w:cs="Arial"/>
          <w:color w:val="000000"/>
        </w:rPr>
        <w:lastRenderedPageBreak/>
        <w:t xml:space="preserve">in the computation of realized and unrealized gains and losses from the part derecognized and the remaining part that continuous to be recognized as investments. Thus, we recommended to Management to consider the inclusion of specific criteria, parameters, and policy guidelines in applying the selection from among similar deal transactions in the LBP’s Operations Manual for a more transparent and consistent application. </w:t>
      </w:r>
    </w:p>
    <w:p w14:paraId="530D51DC" w14:textId="77777777" w:rsidR="00312FC6" w:rsidRPr="004C4F6D" w:rsidRDefault="00312FC6" w:rsidP="004C4F6D">
      <w:pPr>
        <w:pStyle w:val="ListParagraph"/>
        <w:spacing w:after="0" w:line="240" w:lineRule="auto"/>
        <w:rPr>
          <w:rFonts w:ascii="Arial" w:hAnsi="Arial" w:cs="Arial"/>
          <w:lang w:eastAsia="ar-SA"/>
        </w:rPr>
      </w:pPr>
    </w:p>
    <w:p w14:paraId="410A4428" w14:textId="726067D4"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color w:val="000000"/>
        </w:rPr>
        <w:t xml:space="preserve">In compliance with the above recommendation, Management has included the policy and parameters of the Match Deal Close-Out or Specific Identification Method   in the Operations Manual of the Balance Sheet Management Department, as cited below:  </w:t>
      </w:r>
    </w:p>
    <w:p w14:paraId="777C3144" w14:textId="235814B9" w:rsidR="004C4F6D" w:rsidRPr="004C4F6D" w:rsidRDefault="004C4F6D" w:rsidP="004C4F6D">
      <w:pPr>
        <w:pStyle w:val="ListParagraph"/>
        <w:autoSpaceDE w:val="0"/>
        <w:autoSpaceDN w:val="0"/>
        <w:adjustRightInd w:val="0"/>
        <w:spacing w:after="0" w:line="240" w:lineRule="auto"/>
        <w:ind w:left="0"/>
        <w:jc w:val="both"/>
        <w:rPr>
          <w:rFonts w:ascii="Arial" w:hAnsi="Arial" w:cs="Arial"/>
          <w:lang w:eastAsia="ar-SA"/>
        </w:rPr>
      </w:pPr>
    </w:p>
    <w:p w14:paraId="1D80931C" w14:textId="77777777" w:rsidR="00312FC6" w:rsidRPr="004C4F6D" w:rsidRDefault="003919DE" w:rsidP="004C4F6D">
      <w:pPr>
        <w:spacing w:after="0" w:line="240" w:lineRule="auto"/>
        <w:ind w:right="424" w:firstLine="720"/>
        <w:jc w:val="both"/>
        <w:rPr>
          <w:rFonts w:ascii="Arial" w:eastAsia="Arial Narrow" w:hAnsi="Arial" w:cs="Arial"/>
          <w:b/>
          <w:color w:val="000000"/>
        </w:rPr>
      </w:pPr>
      <w:r w:rsidRPr="004C4F6D">
        <w:rPr>
          <w:rFonts w:ascii="Arial" w:eastAsia="Arial Narrow" w:hAnsi="Arial" w:cs="Arial"/>
          <w:b/>
          <w:color w:val="000000"/>
        </w:rPr>
        <w:t xml:space="preserve">F. SALE/DERECOGNITION OF DEBT SECURITIES </w:t>
      </w:r>
    </w:p>
    <w:p w14:paraId="68985C01" w14:textId="77777777" w:rsidR="00312FC6" w:rsidRPr="004C4F6D" w:rsidRDefault="00312FC6" w:rsidP="004C4F6D">
      <w:pPr>
        <w:spacing w:after="0" w:line="240" w:lineRule="auto"/>
        <w:ind w:right="424" w:firstLine="720"/>
        <w:jc w:val="both"/>
        <w:rPr>
          <w:rFonts w:ascii="Arial" w:eastAsia="Arial Narrow" w:hAnsi="Arial" w:cs="Arial"/>
          <w:b/>
          <w:color w:val="000000"/>
        </w:rPr>
      </w:pPr>
    </w:p>
    <w:p w14:paraId="380E9377" w14:textId="5F3147DE" w:rsidR="00312FC6" w:rsidRPr="004C4F6D" w:rsidRDefault="003919DE" w:rsidP="004C4F6D">
      <w:pPr>
        <w:numPr>
          <w:ilvl w:val="0"/>
          <w:numId w:val="12"/>
        </w:numPr>
        <w:spacing w:after="0" w:line="240" w:lineRule="auto"/>
        <w:ind w:left="993" w:right="424" w:hanging="3"/>
        <w:jc w:val="both"/>
        <w:rPr>
          <w:rFonts w:ascii="Arial" w:eastAsia="Arial Narrow" w:hAnsi="Arial" w:cs="Arial"/>
          <w:color w:val="000000"/>
        </w:rPr>
      </w:pPr>
      <w:r w:rsidRPr="004C4F6D">
        <w:rPr>
          <w:rFonts w:ascii="Arial" w:eastAsia="Arial Narrow" w:hAnsi="Arial" w:cs="Arial"/>
          <w:color w:val="000000"/>
        </w:rPr>
        <w:t xml:space="preserve">Cost Allocation </w:t>
      </w:r>
    </w:p>
    <w:p w14:paraId="009EF362" w14:textId="77777777" w:rsidR="00B950CB" w:rsidRPr="004C4F6D" w:rsidRDefault="00B950CB" w:rsidP="004C4F6D">
      <w:pPr>
        <w:spacing w:after="0" w:line="240" w:lineRule="auto"/>
        <w:ind w:left="993" w:right="424"/>
        <w:jc w:val="both"/>
        <w:rPr>
          <w:rFonts w:ascii="Arial" w:eastAsia="Arial Narrow" w:hAnsi="Arial" w:cs="Arial"/>
          <w:color w:val="000000"/>
        </w:rPr>
      </w:pPr>
    </w:p>
    <w:p w14:paraId="223C14CC" w14:textId="77777777" w:rsidR="00312FC6" w:rsidRPr="004C4F6D" w:rsidRDefault="003919DE" w:rsidP="004C4F6D">
      <w:pPr>
        <w:spacing w:after="0" w:line="240" w:lineRule="auto"/>
        <w:ind w:left="993" w:right="716"/>
        <w:jc w:val="both"/>
        <w:rPr>
          <w:rFonts w:ascii="Arial" w:eastAsia="Arial Narrow" w:hAnsi="Arial" w:cs="Arial"/>
          <w:color w:val="000000"/>
        </w:rPr>
      </w:pPr>
      <w:r w:rsidRPr="004C4F6D">
        <w:rPr>
          <w:rFonts w:ascii="Arial" w:eastAsia="Arial Narrow" w:hAnsi="Arial" w:cs="Arial"/>
          <w:color w:val="000000"/>
        </w:rPr>
        <w:t xml:space="preserve">The Match Deal Close-Out or Specific Identification Method of costing inventories is applied to all debt securities being managed by the TIBS since the cost of each inventory deals are not interchangeable. Specific deal number can clearly identify the details of the outstanding securities and the specific cost at which the securities were purchased. As such, the amount of gain or loss from selling the specific assets can easily be determined. </w:t>
      </w:r>
    </w:p>
    <w:p w14:paraId="75F6A468" w14:textId="77777777" w:rsidR="00312FC6" w:rsidRPr="004C4F6D" w:rsidRDefault="00312FC6" w:rsidP="004C4F6D">
      <w:pPr>
        <w:spacing w:after="0" w:line="240" w:lineRule="auto"/>
        <w:ind w:right="424"/>
        <w:jc w:val="both"/>
        <w:rPr>
          <w:rFonts w:ascii="Arial" w:eastAsia="Arial Narrow" w:hAnsi="Arial" w:cs="Arial"/>
          <w:color w:val="000000"/>
        </w:rPr>
      </w:pPr>
    </w:p>
    <w:p w14:paraId="120E22DE" w14:textId="77777777" w:rsidR="00312FC6" w:rsidRPr="004C4F6D" w:rsidRDefault="003919DE" w:rsidP="004C4F6D">
      <w:pPr>
        <w:spacing w:after="0" w:line="240" w:lineRule="auto"/>
        <w:ind w:left="993" w:right="716"/>
        <w:jc w:val="both"/>
        <w:rPr>
          <w:rFonts w:ascii="Arial" w:eastAsia="Arial Narrow" w:hAnsi="Arial" w:cs="Arial"/>
          <w:color w:val="000000"/>
        </w:rPr>
      </w:pPr>
      <w:r w:rsidRPr="004C4F6D">
        <w:rPr>
          <w:rFonts w:ascii="Arial" w:eastAsia="Arial Narrow" w:hAnsi="Arial" w:cs="Arial"/>
          <w:color w:val="000000"/>
        </w:rPr>
        <w:t xml:space="preserve">It is a more realistic method of calculating the gains/losses as it considers the duration/yield of the individual debt securities at the time of acquisition or purchase. It is also being applied to have flexibility in managing the financial assets i.e., profit-taking, liquidity or interest rate risk management. </w:t>
      </w:r>
    </w:p>
    <w:p w14:paraId="435C6681" w14:textId="77777777" w:rsidR="00312FC6" w:rsidRPr="004C4F6D" w:rsidRDefault="00312FC6" w:rsidP="004C4F6D">
      <w:pPr>
        <w:spacing w:after="0" w:line="240" w:lineRule="auto"/>
        <w:ind w:left="993" w:right="424"/>
        <w:jc w:val="both"/>
        <w:rPr>
          <w:rFonts w:ascii="Arial" w:eastAsia="Arial Narrow" w:hAnsi="Arial" w:cs="Arial"/>
          <w:color w:val="000000"/>
        </w:rPr>
      </w:pPr>
    </w:p>
    <w:p w14:paraId="4AD5441F" w14:textId="6CEBA102" w:rsidR="00312FC6" w:rsidRPr="004C4F6D" w:rsidRDefault="003919DE" w:rsidP="004C4F6D">
      <w:pPr>
        <w:numPr>
          <w:ilvl w:val="0"/>
          <w:numId w:val="12"/>
        </w:numPr>
        <w:spacing w:after="0" w:line="240" w:lineRule="auto"/>
        <w:ind w:left="993" w:right="424" w:hanging="3"/>
        <w:jc w:val="both"/>
        <w:rPr>
          <w:rFonts w:ascii="Arial" w:eastAsia="Arial Narrow" w:hAnsi="Arial" w:cs="Arial"/>
          <w:color w:val="000000"/>
        </w:rPr>
      </w:pPr>
      <w:r w:rsidRPr="004C4F6D">
        <w:rPr>
          <w:rFonts w:ascii="Arial" w:eastAsia="Arial Narrow" w:hAnsi="Arial" w:cs="Arial"/>
          <w:color w:val="000000"/>
        </w:rPr>
        <w:t xml:space="preserve">Parameters </w:t>
      </w:r>
    </w:p>
    <w:p w14:paraId="268CC297" w14:textId="77777777" w:rsidR="00B950CB" w:rsidRPr="004C4F6D" w:rsidRDefault="00B950CB" w:rsidP="004C4F6D">
      <w:pPr>
        <w:spacing w:after="0" w:line="240" w:lineRule="auto"/>
        <w:ind w:left="993" w:right="424"/>
        <w:jc w:val="both"/>
        <w:rPr>
          <w:rFonts w:ascii="Arial" w:eastAsia="Arial Narrow" w:hAnsi="Arial" w:cs="Arial"/>
          <w:color w:val="000000"/>
        </w:rPr>
      </w:pPr>
    </w:p>
    <w:p w14:paraId="72A32A42" w14:textId="77777777" w:rsidR="00312FC6" w:rsidRPr="004C4F6D" w:rsidRDefault="003919DE" w:rsidP="004C4F6D">
      <w:pPr>
        <w:spacing w:after="0" w:line="240" w:lineRule="auto"/>
        <w:ind w:left="993" w:right="716"/>
        <w:jc w:val="both"/>
        <w:rPr>
          <w:rFonts w:ascii="Arial" w:eastAsia="Arial Narrow" w:hAnsi="Arial" w:cs="Arial"/>
          <w:color w:val="000000"/>
        </w:rPr>
      </w:pPr>
      <w:r w:rsidRPr="004C4F6D">
        <w:rPr>
          <w:rFonts w:ascii="Arial" w:eastAsia="Arial Narrow" w:hAnsi="Arial" w:cs="Arial"/>
          <w:color w:val="000000"/>
        </w:rPr>
        <w:t xml:space="preserve">In selecting specific deal of debt securities to be sold or derecognized among similar group of financial assets as basis in the computation of the gain or loss under the Banking Book, traders shall be guided by the following parameters: </w:t>
      </w:r>
    </w:p>
    <w:p w14:paraId="78990D60" w14:textId="77777777" w:rsidR="00312FC6" w:rsidRPr="004C4F6D" w:rsidRDefault="00312FC6" w:rsidP="004C4F6D">
      <w:pPr>
        <w:spacing w:after="0" w:line="240" w:lineRule="auto"/>
        <w:ind w:left="993" w:right="424"/>
        <w:jc w:val="both"/>
        <w:rPr>
          <w:rFonts w:ascii="Arial" w:eastAsia="Arial Narrow" w:hAnsi="Arial" w:cs="Arial"/>
          <w:color w:val="000000"/>
        </w:rPr>
      </w:pPr>
    </w:p>
    <w:p w14:paraId="22A30F31" w14:textId="77777777" w:rsidR="00312FC6" w:rsidRPr="004C4F6D" w:rsidRDefault="003919DE" w:rsidP="004C4F6D">
      <w:pPr>
        <w:numPr>
          <w:ilvl w:val="0"/>
          <w:numId w:val="13"/>
        </w:numPr>
        <w:spacing w:after="0" w:line="240" w:lineRule="auto"/>
        <w:ind w:left="1276" w:right="716" w:hanging="283"/>
        <w:jc w:val="both"/>
        <w:rPr>
          <w:rFonts w:ascii="Arial" w:eastAsia="Arial Narrow" w:hAnsi="Arial" w:cs="Arial"/>
          <w:color w:val="000000"/>
        </w:rPr>
      </w:pPr>
      <w:r w:rsidRPr="004C4F6D">
        <w:rPr>
          <w:rFonts w:ascii="Arial" w:eastAsia="Arial Narrow" w:hAnsi="Arial" w:cs="Arial"/>
          <w:color w:val="000000"/>
        </w:rPr>
        <w:t>To maximize returns, select specific deal of debt securities to attain a desired level of gain or loss based on implemented strategy.</w:t>
      </w:r>
    </w:p>
    <w:p w14:paraId="648A9341" w14:textId="77777777" w:rsidR="00312FC6" w:rsidRPr="004C4F6D" w:rsidRDefault="00312FC6" w:rsidP="004C4F6D">
      <w:pPr>
        <w:spacing w:after="0" w:line="240" w:lineRule="auto"/>
        <w:ind w:left="993" w:right="424"/>
        <w:jc w:val="both"/>
        <w:rPr>
          <w:rFonts w:ascii="Arial" w:eastAsia="Arial Narrow" w:hAnsi="Arial" w:cs="Arial"/>
          <w:color w:val="000000"/>
        </w:rPr>
      </w:pPr>
    </w:p>
    <w:p w14:paraId="33401741" w14:textId="77777777" w:rsidR="00312FC6" w:rsidRPr="004C4F6D" w:rsidRDefault="003919DE" w:rsidP="004C4F6D">
      <w:pPr>
        <w:numPr>
          <w:ilvl w:val="0"/>
          <w:numId w:val="13"/>
        </w:numPr>
        <w:spacing w:after="0" w:line="240" w:lineRule="auto"/>
        <w:ind w:left="1276" w:right="716" w:hanging="283"/>
        <w:jc w:val="both"/>
        <w:rPr>
          <w:rFonts w:ascii="Arial" w:eastAsia="Arial Narrow" w:hAnsi="Arial" w:cs="Arial"/>
          <w:color w:val="000000"/>
        </w:rPr>
      </w:pPr>
      <w:r w:rsidRPr="004C4F6D">
        <w:rPr>
          <w:rFonts w:ascii="Arial" w:eastAsia="Arial Narrow" w:hAnsi="Arial" w:cs="Arial"/>
          <w:color w:val="000000"/>
        </w:rPr>
        <w:t>To manage liquidity, execute sale and select specific debt securities that will generate funds to meet the liquidity requirements of the Bank.</w:t>
      </w:r>
    </w:p>
    <w:p w14:paraId="3CC8EF02" w14:textId="77777777" w:rsidR="00312FC6" w:rsidRPr="004C4F6D" w:rsidRDefault="003919DE" w:rsidP="004C4F6D">
      <w:pPr>
        <w:spacing w:after="0" w:line="240" w:lineRule="auto"/>
        <w:ind w:left="993" w:right="716"/>
        <w:jc w:val="both"/>
        <w:rPr>
          <w:rFonts w:ascii="Arial" w:eastAsia="Arial Narrow" w:hAnsi="Arial" w:cs="Arial"/>
          <w:color w:val="000000"/>
        </w:rPr>
      </w:pPr>
      <w:r w:rsidRPr="004C4F6D">
        <w:rPr>
          <w:rFonts w:ascii="Arial" w:eastAsia="Arial Narrow" w:hAnsi="Arial" w:cs="Arial"/>
          <w:color w:val="000000"/>
        </w:rPr>
        <w:t xml:space="preserve"> </w:t>
      </w:r>
    </w:p>
    <w:p w14:paraId="0385E3C4" w14:textId="77777777" w:rsidR="00312FC6" w:rsidRPr="004C4F6D" w:rsidRDefault="003919DE" w:rsidP="004C4F6D">
      <w:pPr>
        <w:spacing w:after="0" w:line="240" w:lineRule="auto"/>
        <w:ind w:left="1276" w:right="716" w:hanging="283"/>
        <w:jc w:val="both"/>
        <w:rPr>
          <w:rFonts w:ascii="Arial" w:eastAsia="Arial Narrow" w:hAnsi="Arial" w:cs="Arial"/>
          <w:color w:val="000000"/>
        </w:rPr>
      </w:pPr>
      <w:r w:rsidRPr="004C4F6D">
        <w:rPr>
          <w:rFonts w:ascii="Arial" w:eastAsia="Arial Narrow" w:hAnsi="Arial" w:cs="Arial"/>
          <w:color w:val="000000"/>
        </w:rPr>
        <w:t>c. To manage balance sheet gaps or interest rate risk, select securities based on the implemented investment strategies that will minimize the adverse impact of future interest rate movements.</w:t>
      </w:r>
    </w:p>
    <w:p w14:paraId="427F86FB" w14:textId="77777777" w:rsidR="00312FC6" w:rsidRPr="004C4F6D" w:rsidRDefault="00312FC6" w:rsidP="004C4F6D">
      <w:pPr>
        <w:spacing w:after="0" w:line="240" w:lineRule="auto"/>
        <w:ind w:left="1276" w:right="424" w:hanging="283"/>
        <w:jc w:val="both"/>
        <w:rPr>
          <w:rFonts w:ascii="Arial" w:eastAsia="Arial Narrow" w:hAnsi="Arial" w:cs="Arial"/>
          <w:color w:val="000000"/>
        </w:rPr>
      </w:pPr>
    </w:p>
    <w:p w14:paraId="316A2E8A"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olor w:val="000000"/>
        </w:rPr>
      </w:pPr>
      <w:r w:rsidRPr="004C4F6D">
        <w:rPr>
          <w:rFonts w:ascii="Arial" w:eastAsia="Arial Narrow" w:hAnsi="Arial"/>
          <w:color w:val="000000"/>
        </w:rPr>
        <w:t xml:space="preserve">Management explained that the parameters applied were dependent on the approved trading plan on the date of sale which is based on the risk management of LBP. They added that the cost and deal number are used in identifying the specific deal of similar investments to be derecognized guided by the parameters to be applied based on the approved trading plan on the date of sale and, thus, even if the investments have the same issuer, coupon rate and maturity date, the investments are considered not </w:t>
      </w:r>
      <w:r w:rsidRPr="004C4F6D">
        <w:rPr>
          <w:rFonts w:ascii="Arial" w:eastAsia="Arial Narrow" w:hAnsi="Arial"/>
          <w:color w:val="000000"/>
        </w:rPr>
        <w:lastRenderedPageBreak/>
        <w:t>interchangeable since their yields and costs are different.  For example, if the parameter is to maximize returns, the deal with lowest yield is selected and the proceeds reinvested in higher yielding financial assets. If the parameter is to manage liquidity, the deal with highest yield is selected. If the parameter is to manage balance sheet gap or interest rate risk, assuming that short-term rates are expected to rise and to minimize the adverse impact of future interest movements, the deal with the lowest yield is derecognized.</w:t>
      </w:r>
    </w:p>
    <w:p w14:paraId="5188386D" w14:textId="77777777" w:rsidR="00312FC6" w:rsidRPr="004C4F6D" w:rsidRDefault="00312FC6" w:rsidP="004C4F6D">
      <w:pPr>
        <w:pStyle w:val="ListParagraph"/>
        <w:spacing w:after="0" w:line="240" w:lineRule="auto"/>
        <w:ind w:left="0"/>
        <w:jc w:val="both"/>
        <w:rPr>
          <w:rFonts w:ascii="Arial" w:eastAsia="Arial Narrow" w:hAnsi="Arial"/>
          <w:color w:val="000000"/>
          <w:lang w:eastAsia="ar-SA"/>
        </w:rPr>
      </w:pPr>
    </w:p>
    <w:p w14:paraId="71E994B2"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rPr>
        <w:t>To further illustrate the corresponding accounting for derecognition of similar financial assets or assets belonging to the same group, based on application by Management of the above-mentioned guidelines, consider the following outstanding Inventory of FVOCI Securities with same issuer, maturity date or tenor and coupon rate:</w:t>
      </w:r>
    </w:p>
    <w:p w14:paraId="28FA6E78" w14:textId="77777777" w:rsidR="00312FC6" w:rsidRPr="004C4F6D" w:rsidRDefault="00312FC6" w:rsidP="004C4F6D">
      <w:pPr>
        <w:pStyle w:val="ListParagraph"/>
        <w:spacing w:after="0" w:line="240" w:lineRule="auto"/>
        <w:ind w:left="0"/>
        <w:jc w:val="both"/>
        <w:rPr>
          <w:rFonts w:ascii="Arial" w:hAnsi="Arial" w:cs="Arial"/>
          <w:lang w:eastAsia="ar-SA"/>
        </w:rPr>
      </w:pPr>
    </w:p>
    <w:tbl>
      <w:tblPr>
        <w:tblW w:w="8709" w:type="dxa"/>
        <w:tblInd w:w="-5" w:type="dxa"/>
        <w:tblLayout w:type="fixed"/>
        <w:tblLook w:val="04A0" w:firstRow="1" w:lastRow="0" w:firstColumn="1" w:lastColumn="0" w:noHBand="0" w:noVBand="1"/>
      </w:tblPr>
      <w:tblGrid>
        <w:gridCol w:w="1007"/>
        <w:gridCol w:w="1022"/>
        <w:gridCol w:w="1451"/>
        <w:gridCol w:w="1214"/>
        <w:gridCol w:w="1170"/>
        <w:gridCol w:w="1371"/>
        <w:gridCol w:w="1474"/>
      </w:tblGrid>
      <w:tr w:rsidR="00312FC6" w:rsidRPr="004C4F6D" w14:paraId="6168036F" w14:textId="77777777" w:rsidTr="002F1504">
        <w:trPr>
          <w:trHeight w:hRule="exact" w:val="583"/>
          <w:tblHeader/>
        </w:trPr>
        <w:tc>
          <w:tcPr>
            <w:tcW w:w="1007" w:type="dxa"/>
            <w:tcBorders>
              <w:top w:val="single" w:sz="4" w:space="0" w:color="auto"/>
              <w:bottom w:val="single" w:sz="4" w:space="0" w:color="auto"/>
            </w:tcBorders>
          </w:tcPr>
          <w:p w14:paraId="2A6CCA89" w14:textId="77777777" w:rsidR="00312FC6" w:rsidRPr="004C4F6D" w:rsidRDefault="003919DE" w:rsidP="004C4F6D">
            <w:pPr>
              <w:spacing w:after="0" w:line="240" w:lineRule="auto"/>
              <w:ind w:right="57" w:firstLine="37"/>
              <w:jc w:val="center"/>
              <w:rPr>
                <w:rFonts w:ascii="Arial" w:eastAsia="Arial Narrow" w:hAnsi="Arial" w:cs="Arial"/>
                <w:b/>
                <w:sz w:val="16"/>
                <w:szCs w:val="16"/>
              </w:rPr>
            </w:pPr>
            <w:r w:rsidRPr="004C4F6D">
              <w:rPr>
                <w:rFonts w:ascii="Arial" w:eastAsia="Arial Narrow" w:hAnsi="Arial" w:cs="Arial"/>
                <w:b/>
                <w:sz w:val="16"/>
                <w:szCs w:val="16"/>
              </w:rPr>
              <w:t>Deal Number</w:t>
            </w:r>
          </w:p>
        </w:tc>
        <w:tc>
          <w:tcPr>
            <w:tcW w:w="1022" w:type="dxa"/>
            <w:tcBorders>
              <w:top w:val="single" w:sz="4" w:space="0" w:color="auto"/>
              <w:bottom w:val="single" w:sz="4" w:space="0" w:color="auto"/>
            </w:tcBorders>
          </w:tcPr>
          <w:p w14:paraId="2AA2B48D" w14:textId="77777777" w:rsidR="00312FC6" w:rsidRPr="004C4F6D" w:rsidRDefault="003919DE" w:rsidP="004C4F6D">
            <w:pPr>
              <w:spacing w:after="0" w:line="240" w:lineRule="auto"/>
              <w:ind w:left="195" w:right="57"/>
              <w:jc w:val="center"/>
              <w:rPr>
                <w:rFonts w:ascii="Arial" w:eastAsia="Arial Narrow" w:hAnsi="Arial" w:cs="Arial"/>
                <w:b/>
                <w:sz w:val="16"/>
                <w:szCs w:val="16"/>
              </w:rPr>
            </w:pPr>
            <w:r w:rsidRPr="004C4F6D">
              <w:rPr>
                <w:rFonts w:ascii="Arial" w:eastAsia="Arial Narrow" w:hAnsi="Arial" w:cs="Arial"/>
                <w:b/>
                <w:sz w:val="16"/>
                <w:szCs w:val="16"/>
              </w:rPr>
              <w:t>ISIN</w:t>
            </w:r>
          </w:p>
        </w:tc>
        <w:tc>
          <w:tcPr>
            <w:tcW w:w="1451" w:type="dxa"/>
            <w:tcBorders>
              <w:top w:val="single" w:sz="4" w:space="0" w:color="auto"/>
              <w:bottom w:val="single" w:sz="4" w:space="0" w:color="auto"/>
            </w:tcBorders>
          </w:tcPr>
          <w:p w14:paraId="3EF54357" w14:textId="77777777" w:rsidR="00312FC6" w:rsidRPr="004C4F6D" w:rsidRDefault="003919DE" w:rsidP="004C4F6D">
            <w:pPr>
              <w:spacing w:after="0" w:line="240" w:lineRule="auto"/>
              <w:ind w:left="195" w:right="57"/>
              <w:jc w:val="center"/>
              <w:rPr>
                <w:rFonts w:ascii="Arial" w:eastAsia="Arial Narrow" w:hAnsi="Arial" w:cs="Arial"/>
                <w:b/>
                <w:sz w:val="16"/>
                <w:szCs w:val="16"/>
              </w:rPr>
            </w:pPr>
            <w:r w:rsidRPr="004C4F6D">
              <w:rPr>
                <w:rFonts w:ascii="Arial" w:eastAsia="Arial Narrow" w:hAnsi="Arial" w:cs="Arial"/>
                <w:b/>
                <w:sz w:val="16"/>
                <w:szCs w:val="16"/>
              </w:rPr>
              <w:t>Face Value</w:t>
            </w:r>
          </w:p>
        </w:tc>
        <w:tc>
          <w:tcPr>
            <w:tcW w:w="1214" w:type="dxa"/>
            <w:tcBorders>
              <w:top w:val="single" w:sz="4" w:space="0" w:color="auto"/>
              <w:bottom w:val="single" w:sz="4" w:space="0" w:color="auto"/>
            </w:tcBorders>
          </w:tcPr>
          <w:p w14:paraId="62252A55" w14:textId="77777777" w:rsidR="00312FC6" w:rsidRPr="004C4F6D" w:rsidRDefault="003919DE" w:rsidP="004C4F6D">
            <w:pPr>
              <w:tabs>
                <w:tab w:val="left" w:pos="892"/>
              </w:tabs>
              <w:spacing w:after="0" w:line="240" w:lineRule="auto"/>
              <w:ind w:left="195" w:right="57"/>
              <w:jc w:val="center"/>
              <w:rPr>
                <w:rFonts w:ascii="Arial" w:eastAsia="Arial Narrow" w:hAnsi="Arial" w:cs="Arial"/>
                <w:b/>
                <w:sz w:val="16"/>
                <w:szCs w:val="16"/>
              </w:rPr>
            </w:pPr>
            <w:r w:rsidRPr="004C4F6D">
              <w:rPr>
                <w:rFonts w:ascii="Arial" w:eastAsia="Arial Narrow" w:hAnsi="Arial" w:cs="Arial"/>
                <w:b/>
                <w:sz w:val="16"/>
                <w:szCs w:val="16"/>
              </w:rPr>
              <w:t>Purchase Date</w:t>
            </w:r>
          </w:p>
        </w:tc>
        <w:tc>
          <w:tcPr>
            <w:tcW w:w="1170" w:type="dxa"/>
            <w:tcBorders>
              <w:top w:val="single" w:sz="4" w:space="0" w:color="auto"/>
              <w:bottom w:val="single" w:sz="4" w:space="0" w:color="auto"/>
            </w:tcBorders>
          </w:tcPr>
          <w:p w14:paraId="46D5F4E4" w14:textId="77777777" w:rsidR="00312FC6" w:rsidRPr="004C4F6D" w:rsidRDefault="003919DE" w:rsidP="004C4F6D">
            <w:pPr>
              <w:spacing w:after="0" w:line="240" w:lineRule="auto"/>
              <w:ind w:right="57" w:hanging="27"/>
              <w:jc w:val="center"/>
              <w:rPr>
                <w:rFonts w:ascii="Arial" w:eastAsia="Arial Narrow" w:hAnsi="Arial" w:cs="Arial"/>
                <w:b/>
                <w:sz w:val="16"/>
                <w:szCs w:val="16"/>
              </w:rPr>
            </w:pPr>
            <w:r w:rsidRPr="004C4F6D">
              <w:rPr>
                <w:rFonts w:ascii="Arial" w:eastAsia="Arial Narrow" w:hAnsi="Arial" w:cs="Arial"/>
                <w:b/>
                <w:sz w:val="16"/>
                <w:szCs w:val="16"/>
              </w:rPr>
              <w:t>Purchase Rate</w:t>
            </w:r>
          </w:p>
        </w:tc>
        <w:tc>
          <w:tcPr>
            <w:tcW w:w="1371" w:type="dxa"/>
            <w:tcBorders>
              <w:top w:val="single" w:sz="4" w:space="0" w:color="auto"/>
              <w:bottom w:val="single" w:sz="4" w:space="0" w:color="auto"/>
            </w:tcBorders>
          </w:tcPr>
          <w:p w14:paraId="1920ABE4" w14:textId="77777777" w:rsidR="00312FC6" w:rsidRPr="004C4F6D" w:rsidRDefault="003919DE" w:rsidP="004C4F6D">
            <w:pPr>
              <w:spacing w:after="0" w:line="240" w:lineRule="auto"/>
              <w:ind w:left="36" w:right="57"/>
              <w:jc w:val="center"/>
              <w:rPr>
                <w:rFonts w:ascii="Arial" w:eastAsia="Arial Narrow" w:hAnsi="Arial" w:cs="Arial"/>
                <w:b/>
                <w:sz w:val="16"/>
                <w:szCs w:val="16"/>
              </w:rPr>
            </w:pPr>
            <w:r w:rsidRPr="004C4F6D">
              <w:rPr>
                <w:rFonts w:ascii="Arial" w:eastAsia="Arial Narrow" w:hAnsi="Arial" w:cs="Arial"/>
                <w:b/>
                <w:sz w:val="16"/>
                <w:szCs w:val="16"/>
              </w:rPr>
              <w:t>Carrying Amount</w:t>
            </w:r>
          </w:p>
        </w:tc>
        <w:tc>
          <w:tcPr>
            <w:tcW w:w="1474" w:type="dxa"/>
            <w:tcBorders>
              <w:top w:val="single" w:sz="4" w:space="0" w:color="auto"/>
              <w:bottom w:val="single" w:sz="4" w:space="0" w:color="auto"/>
            </w:tcBorders>
          </w:tcPr>
          <w:p w14:paraId="156F143C" w14:textId="77777777" w:rsidR="00312FC6" w:rsidRPr="004C4F6D" w:rsidRDefault="003919DE" w:rsidP="004C4F6D">
            <w:pPr>
              <w:spacing w:after="0" w:line="240" w:lineRule="auto"/>
              <w:ind w:left="195" w:right="57"/>
              <w:jc w:val="center"/>
              <w:rPr>
                <w:rFonts w:ascii="Arial" w:eastAsia="Arial Narrow" w:hAnsi="Arial" w:cs="Arial"/>
                <w:b/>
                <w:sz w:val="16"/>
                <w:szCs w:val="16"/>
              </w:rPr>
            </w:pPr>
            <w:r w:rsidRPr="004C4F6D">
              <w:rPr>
                <w:rFonts w:ascii="Arial" w:eastAsia="Arial Narrow" w:hAnsi="Arial" w:cs="Arial"/>
                <w:b/>
                <w:sz w:val="16"/>
                <w:szCs w:val="16"/>
              </w:rPr>
              <w:t>Market Value</w:t>
            </w:r>
          </w:p>
        </w:tc>
      </w:tr>
      <w:tr w:rsidR="00312FC6" w:rsidRPr="004C4F6D" w14:paraId="3417430D" w14:textId="77777777" w:rsidTr="002F1504">
        <w:trPr>
          <w:trHeight w:hRule="exact" w:val="282"/>
        </w:trPr>
        <w:tc>
          <w:tcPr>
            <w:tcW w:w="1007" w:type="dxa"/>
            <w:tcBorders>
              <w:top w:val="single" w:sz="4" w:space="0" w:color="auto"/>
            </w:tcBorders>
          </w:tcPr>
          <w:p w14:paraId="6E5897A8" w14:textId="77777777" w:rsidR="00312FC6" w:rsidRPr="004C4F6D" w:rsidRDefault="00312FC6" w:rsidP="004C4F6D">
            <w:pPr>
              <w:spacing w:after="0" w:line="240" w:lineRule="auto"/>
              <w:ind w:left="195" w:right="57"/>
              <w:jc w:val="both"/>
              <w:rPr>
                <w:rFonts w:ascii="Arial" w:eastAsia="Arial Narrow" w:hAnsi="Arial" w:cs="Arial"/>
                <w:sz w:val="16"/>
                <w:szCs w:val="16"/>
              </w:rPr>
            </w:pPr>
          </w:p>
        </w:tc>
        <w:tc>
          <w:tcPr>
            <w:tcW w:w="1022" w:type="dxa"/>
            <w:tcBorders>
              <w:top w:val="single" w:sz="4" w:space="0" w:color="auto"/>
            </w:tcBorders>
          </w:tcPr>
          <w:p w14:paraId="57BEFC2B" w14:textId="77777777" w:rsidR="00312FC6" w:rsidRPr="004C4F6D" w:rsidRDefault="00312FC6" w:rsidP="004C4F6D">
            <w:pPr>
              <w:tabs>
                <w:tab w:val="left" w:pos="599"/>
              </w:tabs>
              <w:spacing w:after="0" w:line="240" w:lineRule="auto"/>
              <w:ind w:left="195" w:right="57" w:hanging="305"/>
              <w:jc w:val="both"/>
              <w:rPr>
                <w:rFonts w:ascii="Arial" w:eastAsia="Arial Narrow" w:hAnsi="Arial" w:cs="Arial"/>
                <w:sz w:val="16"/>
                <w:szCs w:val="16"/>
              </w:rPr>
            </w:pPr>
          </w:p>
        </w:tc>
        <w:tc>
          <w:tcPr>
            <w:tcW w:w="1451" w:type="dxa"/>
            <w:tcBorders>
              <w:top w:val="single" w:sz="4" w:space="0" w:color="auto"/>
            </w:tcBorders>
          </w:tcPr>
          <w:p w14:paraId="54DCEC70" w14:textId="77777777" w:rsidR="00312FC6" w:rsidRPr="004C4F6D" w:rsidRDefault="00312FC6" w:rsidP="004C4F6D">
            <w:pPr>
              <w:spacing w:after="0" w:line="240" w:lineRule="auto"/>
              <w:ind w:left="195" w:right="57"/>
              <w:jc w:val="both"/>
              <w:rPr>
                <w:rFonts w:ascii="Arial" w:eastAsia="Arial Narrow" w:hAnsi="Arial" w:cs="Arial"/>
                <w:sz w:val="16"/>
                <w:szCs w:val="16"/>
              </w:rPr>
            </w:pPr>
          </w:p>
        </w:tc>
        <w:tc>
          <w:tcPr>
            <w:tcW w:w="1214" w:type="dxa"/>
            <w:tcBorders>
              <w:top w:val="single" w:sz="4" w:space="0" w:color="auto"/>
            </w:tcBorders>
          </w:tcPr>
          <w:p w14:paraId="3A677754" w14:textId="77777777" w:rsidR="00312FC6" w:rsidRPr="004C4F6D" w:rsidRDefault="00312FC6" w:rsidP="004C4F6D">
            <w:pPr>
              <w:tabs>
                <w:tab w:val="left" w:pos="892"/>
              </w:tabs>
              <w:spacing w:after="0" w:line="240" w:lineRule="auto"/>
              <w:ind w:left="195" w:right="57"/>
              <w:jc w:val="both"/>
              <w:rPr>
                <w:rFonts w:ascii="Arial" w:eastAsia="Arial Narrow" w:hAnsi="Arial" w:cs="Arial"/>
                <w:sz w:val="16"/>
                <w:szCs w:val="16"/>
              </w:rPr>
            </w:pPr>
          </w:p>
        </w:tc>
        <w:tc>
          <w:tcPr>
            <w:tcW w:w="1170" w:type="dxa"/>
            <w:tcBorders>
              <w:top w:val="single" w:sz="4" w:space="0" w:color="auto"/>
            </w:tcBorders>
          </w:tcPr>
          <w:p w14:paraId="2E59A7E9" w14:textId="77777777" w:rsidR="00312FC6" w:rsidRPr="004C4F6D" w:rsidRDefault="00312FC6" w:rsidP="004C4F6D">
            <w:pPr>
              <w:spacing w:after="0" w:line="240" w:lineRule="auto"/>
              <w:ind w:left="195" w:right="57"/>
              <w:jc w:val="both"/>
              <w:rPr>
                <w:rFonts w:ascii="Arial" w:eastAsia="Arial Narrow" w:hAnsi="Arial" w:cs="Arial"/>
                <w:sz w:val="16"/>
                <w:szCs w:val="16"/>
              </w:rPr>
            </w:pPr>
          </w:p>
        </w:tc>
        <w:tc>
          <w:tcPr>
            <w:tcW w:w="1371" w:type="dxa"/>
            <w:tcBorders>
              <w:top w:val="single" w:sz="4" w:space="0" w:color="auto"/>
            </w:tcBorders>
          </w:tcPr>
          <w:p w14:paraId="408B59AE" w14:textId="77777777" w:rsidR="00312FC6" w:rsidRPr="004C4F6D" w:rsidRDefault="00312FC6" w:rsidP="004C4F6D">
            <w:pPr>
              <w:spacing w:after="0" w:line="240" w:lineRule="auto"/>
              <w:ind w:left="36" w:right="57"/>
              <w:jc w:val="right"/>
              <w:rPr>
                <w:rFonts w:ascii="Arial" w:eastAsia="Arial Narrow" w:hAnsi="Arial" w:cs="Arial"/>
                <w:sz w:val="16"/>
                <w:szCs w:val="16"/>
              </w:rPr>
            </w:pPr>
          </w:p>
        </w:tc>
        <w:tc>
          <w:tcPr>
            <w:tcW w:w="1474" w:type="dxa"/>
            <w:tcBorders>
              <w:top w:val="single" w:sz="4" w:space="0" w:color="auto"/>
            </w:tcBorders>
          </w:tcPr>
          <w:p w14:paraId="3CFC3F5A" w14:textId="77777777" w:rsidR="00312FC6" w:rsidRPr="004C4F6D" w:rsidRDefault="00312FC6" w:rsidP="004C4F6D">
            <w:pPr>
              <w:spacing w:after="0" w:line="240" w:lineRule="auto"/>
              <w:ind w:left="195" w:right="57"/>
              <w:jc w:val="both"/>
              <w:rPr>
                <w:rFonts w:ascii="Arial" w:eastAsia="Arial Narrow" w:hAnsi="Arial" w:cs="Arial"/>
                <w:sz w:val="16"/>
                <w:szCs w:val="16"/>
              </w:rPr>
            </w:pPr>
          </w:p>
        </w:tc>
      </w:tr>
      <w:tr w:rsidR="00312FC6" w:rsidRPr="004C4F6D" w14:paraId="7D86EC0D" w14:textId="77777777" w:rsidTr="002F1504">
        <w:trPr>
          <w:trHeight w:hRule="exact" w:val="268"/>
        </w:trPr>
        <w:tc>
          <w:tcPr>
            <w:tcW w:w="1007" w:type="dxa"/>
          </w:tcPr>
          <w:p w14:paraId="7B741E04" w14:textId="77777777" w:rsidR="00312FC6" w:rsidRPr="004C4F6D" w:rsidRDefault="003919DE" w:rsidP="004C4F6D">
            <w:pPr>
              <w:tabs>
                <w:tab w:val="left" w:pos="686"/>
              </w:tabs>
              <w:spacing w:after="0" w:line="240" w:lineRule="auto"/>
              <w:ind w:right="57" w:firstLine="119"/>
              <w:jc w:val="both"/>
              <w:rPr>
                <w:rFonts w:ascii="Arial" w:eastAsia="Arial Narrow" w:hAnsi="Arial" w:cs="Arial"/>
                <w:sz w:val="16"/>
                <w:szCs w:val="16"/>
              </w:rPr>
            </w:pPr>
            <w:r w:rsidRPr="004C4F6D">
              <w:rPr>
                <w:rFonts w:ascii="Arial" w:eastAsia="Arial Narrow" w:hAnsi="Arial" w:cs="Arial"/>
                <w:sz w:val="16"/>
                <w:szCs w:val="16"/>
              </w:rPr>
              <w:t>151332</w:t>
            </w:r>
          </w:p>
        </w:tc>
        <w:tc>
          <w:tcPr>
            <w:tcW w:w="1022" w:type="dxa"/>
          </w:tcPr>
          <w:p w14:paraId="30B0668E" w14:textId="77777777" w:rsidR="00312FC6" w:rsidRPr="004C4F6D" w:rsidRDefault="003919DE" w:rsidP="004C4F6D">
            <w:pPr>
              <w:tabs>
                <w:tab w:val="left" w:pos="316"/>
              </w:tabs>
              <w:spacing w:after="0" w:line="240" w:lineRule="auto"/>
              <w:ind w:left="158" w:right="-132" w:hanging="268"/>
              <w:jc w:val="center"/>
              <w:rPr>
                <w:rFonts w:ascii="Arial" w:eastAsia="Arial Narrow" w:hAnsi="Arial" w:cs="Arial"/>
                <w:sz w:val="16"/>
                <w:szCs w:val="16"/>
              </w:rPr>
            </w:pPr>
            <w:r w:rsidRPr="004C4F6D">
              <w:rPr>
                <w:rFonts w:ascii="Arial" w:eastAsia="Arial Narrow" w:hAnsi="Arial" w:cs="Arial"/>
                <w:sz w:val="16"/>
                <w:szCs w:val="16"/>
              </w:rPr>
              <w:t>FXTN 03-24</w:t>
            </w:r>
          </w:p>
        </w:tc>
        <w:tc>
          <w:tcPr>
            <w:tcW w:w="1451" w:type="dxa"/>
          </w:tcPr>
          <w:p w14:paraId="7A5B2D06" w14:textId="77777777" w:rsidR="00312FC6" w:rsidRPr="004C4F6D" w:rsidRDefault="003919DE" w:rsidP="004C4F6D">
            <w:pPr>
              <w:spacing w:after="0" w:line="240" w:lineRule="auto"/>
              <w:ind w:left="-93" w:right="57"/>
              <w:jc w:val="right"/>
              <w:rPr>
                <w:rFonts w:ascii="Arial" w:eastAsia="Arial Narrow" w:hAnsi="Arial" w:cs="Arial"/>
                <w:sz w:val="16"/>
                <w:szCs w:val="16"/>
              </w:rPr>
            </w:pPr>
            <w:r w:rsidRPr="004C4F6D">
              <w:rPr>
                <w:rFonts w:ascii="Arial" w:eastAsia="Arial Narrow" w:hAnsi="Arial" w:cs="Arial"/>
                <w:sz w:val="16"/>
                <w:szCs w:val="16"/>
              </w:rPr>
              <w:t>642,326,000</w:t>
            </w:r>
          </w:p>
        </w:tc>
        <w:tc>
          <w:tcPr>
            <w:tcW w:w="1214" w:type="dxa"/>
          </w:tcPr>
          <w:p w14:paraId="16DB3E69" w14:textId="77777777" w:rsidR="00312FC6" w:rsidRPr="004C4F6D" w:rsidRDefault="003919DE" w:rsidP="004C4F6D">
            <w:pPr>
              <w:tabs>
                <w:tab w:val="left" w:pos="858"/>
              </w:tabs>
              <w:spacing w:after="0" w:line="240" w:lineRule="auto"/>
              <w:ind w:right="57"/>
              <w:jc w:val="center"/>
              <w:rPr>
                <w:rFonts w:ascii="Arial" w:eastAsia="Arial Narrow" w:hAnsi="Arial" w:cs="Arial"/>
                <w:sz w:val="16"/>
                <w:szCs w:val="16"/>
              </w:rPr>
            </w:pPr>
            <w:r w:rsidRPr="004C4F6D">
              <w:rPr>
                <w:rFonts w:ascii="Arial" w:eastAsia="Arial Narrow" w:hAnsi="Arial" w:cs="Arial"/>
                <w:sz w:val="16"/>
                <w:szCs w:val="16"/>
              </w:rPr>
              <w:t>12-Dec-21</w:t>
            </w:r>
          </w:p>
        </w:tc>
        <w:tc>
          <w:tcPr>
            <w:tcW w:w="1170" w:type="dxa"/>
          </w:tcPr>
          <w:p w14:paraId="73F6061A" w14:textId="77777777" w:rsidR="00312FC6" w:rsidRPr="004C4F6D" w:rsidRDefault="003919DE" w:rsidP="004C4F6D">
            <w:pPr>
              <w:spacing w:after="0" w:line="240" w:lineRule="auto"/>
              <w:ind w:left="27" w:right="57" w:hanging="27"/>
              <w:jc w:val="right"/>
              <w:rPr>
                <w:rFonts w:ascii="Arial" w:eastAsia="Arial Narrow" w:hAnsi="Arial" w:cs="Arial"/>
                <w:sz w:val="16"/>
                <w:szCs w:val="16"/>
              </w:rPr>
            </w:pPr>
            <w:r w:rsidRPr="004C4F6D">
              <w:rPr>
                <w:rFonts w:ascii="Arial" w:eastAsia="Arial Narrow" w:hAnsi="Arial" w:cs="Arial"/>
                <w:sz w:val="16"/>
                <w:szCs w:val="16"/>
              </w:rPr>
              <w:t>3.74200</w:t>
            </w:r>
          </w:p>
        </w:tc>
        <w:tc>
          <w:tcPr>
            <w:tcW w:w="1371" w:type="dxa"/>
          </w:tcPr>
          <w:p w14:paraId="405509FB" w14:textId="77777777" w:rsidR="00312FC6" w:rsidRPr="004C4F6D" w:rsidRDefault="003919DE" w:rsidP="004C4F6D">
            <w:pPr>
              <w:tabs>
                <w:tab w:val="left" w:pos="1029"/>
              </w:tabs>
              <w:spacing w:after="0" w:line="240" w:lineRule="auto"/>
              <w:ind w:left="36" w:right="-51"/>
              <w:jc w:val="right"/>
              <w:rPr>
                <w:rFonts w:ascii="Arial" w:eastAsia="Arial Narrow" w:hAnsi="Arial" w:cs="Arial"/>
                <w:sz w:val="16"/>
                <w:szCs w:val="16"/>
              </w:rPr>
            </w:pPr>
            <w:r w:rsidRPr="004C4F6D">
              <w:rPr>
                <w:rFonts w:ascii="Arial" w:eastAsia="Arial Narrow" w:hAnsi="Arial" w:cs="Arial"/>
                <w:sz w:val="16"/>
                <w:szCs w:val="16"/>
              </w:rPr>
              <w:t>643,660,115</w:t>
            </w:r>
          </w:p>
        </w:tc>
        <w:tc>
          <w:tcPr>
            <w:tcW w:w="1474" w:type="dxa"/>
          </w:tcPr>
          <w:p w14:paraId="196CC9D0" w14:textId="77777777" w:rsidR="00312FC6" w:rsidRPr="004C4F6D" w:rsidRDefault="003919DE" w:rsidP="004C4F6D">
            <w:pPr>
              <w:spacing w:after="0" w:line="240" w:lineRule="auto"/>
              <w:ind w:left="195"/>
              <w:jc w:val="right"/>
              <w:rPr>
                <w:rFonts w:ascii="Arial" w:eastAsia="Arial Narrow" w:hAnsi="Arial" w:cs="Arial"/>
                <w:sz w:val="16"/>
                <w:szCs w:val="16"/>
              </w:rPr>
            </w:pPr>
            <w:r w:rsidRPr="004C4F6D">
              <w:rPr>
                <w:rFonts w:ascii="Arial" w:eastAsia="Arial Narrow" w:hAnsi="Arial" w:cs="Arial"/>
                <w:sz w:val="16"/>
                <w:szCs w:val="16"/>
              </w:rPr>
              <w:t>646,269,322</w:t>
            </w:r>
          </w:p>
        </w:tc>
      </w:tr>
      <w:tr w:rsidR="00312FC6" w:rsidRPr="004C4F6D" w14:paraId="5AFD7B41" w14:textId="77777777" w:rsidTr="002F1504">
        <w:trPr>
          <w:trHeight w:hRule="exact" w:val="303"/>
        </w:trPr>
        <w:tc>
          <w:tcPr>
            <w:tcW w:w="1007" w:type="dxa"/>
          </w:tcPr>
          <w:p w14:paraId="3C1AB778" w14:textId="77777777" w:rsidR="00312FC6" w:rsidRPr="004C4F6D" w:rsidRDefault="003919DE" w:rsidP="004C4F6D">
            <w:pPr>
              <w:tabs>
                <w:tab w:val="left" w:pos="686"/>
              </w:tabs>
              <w:spacing w:after="0" w:line="240" w:lineRule="auto"/>
              <w:ind w:right="57" w:firstLine="119"/>
              <w:jc w:val="both"/>
              <w:rPr>
                <w:rFonts w:ascii="Arial" w:eastAsia="Arial Narrow" w:hAnsi="Arial" w:cs="Arial"/>
                <w:sz w:val="16"/>
                <w:szCs w:val="16"/>
              </w:rPr>
            </w:pPr>
            <w:r w:rsidRPr="004C4F6D">
              <w:rPr>
                <w:rFonts w:ascii="Arial" w:eastAsia="Arial Narrow" w:hAnsi="Arial" w:cs="Arial"/>
                <w:sz w:val="16"/>
                <w:szCs w:val="16"/>
              </w:rPr>
              <w:t>151307</w:t>
            </w:r>
          </w:p>
        </w:tc>
        <w:tc>
          <w:tcPr>
            <w:tcW w:w="1022" w:type="dxa"/>
          </w:tcPr>
          <w:p w14:paraId="67FD3D19" w14:textId="77777777" w:rsidR="00312FC6" w:rsidRPr="004C4F6D" w:rsidRDefault="003919DE" w:rsidP="004C4F6D">
            <w:pPr>
              <w:tabs>
                <w:tab w:val="left" w:pos="316"/>
              </w:tabs>
              <w:spacing w:after="0" w:line="240" w:lineRule="auto"/>
              <w:ind w:left="158" w:right="-132" w:hanging="268"/>
              <w:jc w:val="center"/>
              <w:rPr>
                <w:rFonts w:ascii="Arial" w:eastAsia="Arial Narrow" w:hAnsi="Arial" w:cs="Arial"/>
                <w:sz w:val="16"/>
                <w:szCs w:val="16"/>
              </w:rPr>
            </w:pPr>
            <w:r w:rsidRPr="004C4F6D">
              <w:rPr>
                <w:rFonts w:ascii="Arial" w:eastAsia="Arial Narrow" w:hAnsi="Arial" w:cs="Arial"/>
                <w:sz w:val="16"/>
                <w:szCs w:val="16"/>
              </w:rPr>
              <w:t>FXTN 03-24</w:t>
            </w:r>
          </w:p>
        </w:tc>
        <w:tc>
          <w:tcPr>
            <w:tcW w:w="1451" w:type="dxa"/>
          </w:tcPr>
          <w:p w14:paraId="791DE55C" w14:textId="77777777" w:rsidR="00312FC6" w:rsidRPr="004C4F6D" w:rsidRDefault="003919DE" w:rsidP="004C4F6D">
            <w:pPr>
              <w:spacing w:after="0" w:line="240" w:lineRule="auto"/>
              <w:ind w:left="-93" w:right="57"/>
              <w:jc w:val="right"/>
              <w:rPr>
                <w:rFonts w:ascii="Arial" w:eastAsia="Arial Narrow" w:hAnsi="Arial" w:cs="Arial"/>
                <w:sz w:val="16"/>
                <w:szCs w:val="16"/>
              </w:rPr>
            </w:pPr>
            <w:r w:rsidRPr="004C4F6D">
              <w:rPr>
                <w:rFonts w:ascii="Arial" w:eastAsia="Arial Narrow" w:hAnsi="Arial" w:cs="Arial"/>
                <w:sz w:val="16"/>
                <w:szCs w:val="16"/>
              </w:rPr>
              <w:t>3,000,000,000</w:t>
            </w:r>
          </w:p>
        </w:tc>
        <w:tc>
          <w:tcPr>
            <w:tcW w:w="1214" w:type="dxa"/>
          </w:tcPr>
          <w:p w14:paraId="0AF4EF3D" w14:textId="77777777" w:rsidR="00312FC6" w:rsidRPr="004C4F6D" w:rsidRDefault="003919DE" w:rsidP="004C4F6D">
            <w:pPr>
              <w:tabs>
                <w:tab w:val="left" w:pos="858"/>
              </w:tabs>
              <w:spacing w:after="0" w:line="240" w:lineRule="auto"/>
              <w:ind w:left="38" w:right="57" w:hanging="15"/>
              <w:jc w:val="center"/>
              <w:rPr>
                <w:rFonts w:ascii="Arial" w:eastAsia="Arial Narrow" w:hAnsi="Arial" w:cs="Arial"/>
                <w:sz w:val="16"/>
                <w:szCs w:val="16"/>
              </w:rPr>
            </w:pPr>
            <w:r w:rsidRPr="004C4F6D">
              <w:rPr>
                <w:rFonts w:ascii="Arial" w:eastAsia="Arial Narrow" w:hAnsi="Arial" w:cs="Arial"/>
                <w:sz w:val="16"/>
                <w:szCs w:val="16"/>
              </w:rPr>
              <w:t>12-Dec-21</w:t>
            </w:r>
          </w:p>
        </w:tc>
        <w:tc>
          <w:tcPr>
            <w:tcW w:w="1170" w:type="dxa"/>
          </w:tcPr>
          <w:p w14:paraId="718AB187" w14:textId="77777777" w:rsidR="00312FC6" w:rsidRPr="004C4F6D" w:rsidRDefault="003919DE" w:rsidP="004C4F6D">
            <w:pPr>
              <w:spacing w:after="0" w:line="240" w:lineRule="auto"/>
              <w:ind w:left="27" w:right="57" w:hanging="27"/>
              <w:jc w:val="right"/>
              <w:rPr>
                <w:rFonts w:ascii="Arial" w:eastAsia="Arial Narrow" w:hAnsi="Arial" w:cs="Arial"/>
                <w:sz w:val="16"/>
                <w:szCs w:val="16"/>
              </w:rPr>
            </w:pPr>
            <w:r w:rsidRPr="004C4F6D">
              <w:rPr>
                <w:rFonts w:ascii="Arial" w:eastAsia="Arial Narrow" w:hAnsi="Arial" w:cs="Arial"/>
                <w:sz w:val="16"/>
                <w:szCs w:val="16"/>
              </w:rPr>
              <w:t>3.75000</w:t>
            </w:r>
          </w:p>
        </w:tc>
        <w:tc>
          <w:tcPr>
            <w:tcW w:w="1371" w:type="dxa"/>
          </w:tcPr>
          <w:p w14:paraId="70C974FC" w14:textId="77777777" w:rsidR="00312FC6" w:rsidRPr="004C4F6D" w:rsidRDefault="003919DE" w:rsidP="004C4F6D">
            <w:pPr>
              <w:tabs>
                <w:tab w:val="left" w:pos="1029"/>
              </w:tabs>
              <w:spacing w:after="0" w:line="240" w:lineRule="auto"/>
              <w:ind w:left="36" w:right="-51"/>
              <w:jc w:val="right"/>
              <w:rPr>
                <w:rFonts w:ascii="Arial" w:eastAsia="Arial Narrow" w:hAnsi="Arial" w:cs="Arial"/>
                <w:sz w:val="16"/>
                <w:szCs w:val="16"/>
              </w:rPr>
            </w:pPr>
            <w:r w:rsidRPr="004C4F6D">
              <w:rPr>
                <w:rFonts w:ascii="Arial" w:eastAsia="Arial Narrow" w:hAnsi="Arial" w:cs="Arial"/>
                <w:sz w:val="16"/>
                <w:szCs w:val="16"/>
              </w:rPr>
              <w:t>3,006,168,741</w:t>
            </w:r>
          </w:p>
        </w:tc>
        <w:tc>
          <w:tcPr>
            <w:tcW w:w="1474" w:type="dxa"/>
          </w:tcPr>
          <w:p w14:paraId="7B99EBF1" w14:textId="77777777" w:rsidR="00312FC6" w:rsidRPr="004C4F6D" w:rsidRDefault="003919DE" w:rsidP="004C4F6D">
            <w:pPr>
              <w:spacing w:after="0" w:line="240" w:lineRule="auto"/>
              <w:ind w:left="195"/>
              <w:jc w:val="right"/>
              <w:rPr>
                <w:rFonts w:ascii="Arial" w:eastAsia="Arial Narrow" w:hAnsi="Arial" w:cs="Arial"/>
                <w:sz w:val="16"/>
                <w:szCs w:val="16"/>
              </w:rPr>
            </w:pPr>
            <w:r w:rsidRPr="004C4F6D">
              <w:rPr>
                <w:rFonts w:ascii="Arial" w:eastAsia="Arial Narrow" w:hAnsi="Arial" w:cs="Arial"/>
                <w:sz w:val="16"/>
                <w:szCs w:val="16"/>
              </w:rPr>
              <w:t>3,018,417,384</w:t>
            </w:r>
          </w:p>
        </w:tc>
      </w:tr>
      <w:tr w:rsidR="00312FC6" w:rsidRPr="004C4F6D" w14:paraId="18E91489" w14:textId="77777777" w:rsidTr="002F1504">
        <w:trPr>
          <w:trHeight w:hRule="exact" w:val="293"/>
        </w:trPr>
        <w:tc>
          <w:tcPr>
            <w:tcW w:w="1007" w:type="dxa"/>
          </w:tcPr>
          <w:p w14:paraId="496E4C72" w14:textId="77777777" w:rsidR="00312FC6" w:rsidRPr="004C4F6D" w:rsidRDefault="003919DE" w:rsidP="004C4F6D">
            <w:pPr>
              <w:tabs>
                <w:tab w:val="left" w:pos="686"/>
              </w:tabs>
              <w:spacing w:after="0" w:line="240" w:lineRule="auto"/>
              <w:ind w:right="57" w:firstLine="119"/>
              <w:jc w:val="both"/>
              <w:rPr>
                <w:rFonts w:ascii="Arial" w:eastAsia="Arial Narrow" w:hAnsi="Arial" w:cs="Arial"/>
                <w:sz w:val="16"/>
                <w:szCs w:val="16"/>
              </w:rPr>
            </w:pPr>
            <w:r w:rsidRPr="004C4F6D">
              <w:rPr>
                <w:rFonts w:ascii="Arial" w:eastAsia="Arial Narrow" w:hAnsi="Arial" w:cs="Arial"/>
                <w:sz w:val="16"/>
                <w:szCs w:val="16"/>
              </w:rPr>
              <w:t>159584</w:t>
            </w:r>
          </w:p>
        </w:tc>
        <w:tc>
          <w:tcPr>
            <w:tcW w:w="1022" w:type="dxa"/>
          </w:tcPr>
          <w:p w14:paraId="27779778" w14:textId="77777777" w:rsidR="00312FC6" w:rsidRPr="004C4F6D" w:rsidRDefault="003919DE" w:rsidP="004C4F6D">
            <w:pPr>
              <w:tabs>
                <w:tab w:val="left" w:pos="316"/>
              </w:tabs>
              <w:spacing w:after="0" w:line="240" w:lineRule="auto"/>
              <w:ind w:left="158" w:right="-132" w:hanging="268"/>
              <w:jc w:val="center"/>
              <w:rPr>
                <w:rFonts w:ascii="Arial" w:eastAsia="Arial Narrow" w:hAnsi="Arial" w:cs="Arial"/>
                <w:sz w:val="16"/>
                <w:szCs w:val="16"/>
              </w:rPr>
            </w:pPr>
            <w:r w:rsidRPr="004C4F6D">
              <w:rPr>
                <w:rFonts w:ascii="Arial" w:eastAsia="Arial Narrow" w:hAnsi="Arial" w:cs="Arial"/>
                <w:sz w:val="16"/>
                <w:szCs w:val="16"/>
              </w:rPr>
              <w:t>FXTN 03-24</w:t>
            </w:r>
          </w:p>
        </w:tc>
        <w:tc>
          <w:tcPr>
            <w:tcW w:w="1451" w:type="dxa"/>
          </w:tcPr>
          <w:p w14:paraId="31FA9935" w14:textId="77777777" w:rsidR="00312FC6" w:rsidRPr="004C4F6D" w:rsidRDefault="003919DE" w:rsidP="004C4F6D">
            <w:pPr>
              <w:spacing w:after="0" w:line="240" w:lineRule="auto"/>
              <w:ind w:left="-93" w:right="57"/>
              <w:jc w:val="right"/>
              <w:rPr>
                <w:rFonts w:ascii="Arial" w:eastAsia="Arial Narrow" w:hAnsi="Arial" w:cs="Arial"/>
                <w:sz w:val="16"/>
                <w:szCs w:val="16"/>
              </w:rPr>
            </w:pPr>
            <w:r w:rsidRPr="004C4F6D">
              <w:rPr>
                <w:rFonts w:ascii="Arial" w:eastAsia="Arial Narrow" w:hAnsi="Arial" w:cs="Arial"/>
                <w:sz w:val="16"/>
                <w:szCs w:val="16"/>
              </w:rPr>
              <w:t>150,000,000</w:t>
            </w:r>
          </w:p>
        </w:tc>
        <w:tc>
          <w:tcPr>
            <w:tcW w:w="1214" w:type="dxa"/>
          </w:tcPr>
          <w:p w14:paraId="75D44C16" w14:textId="77777777" w:rsidR="00312FC6" w:rsidRPr="004C4F6D" w:rsidRDefault="003919DE" w:rsidP="004C4F6D">
            <w:pPr>
              <w:tabs>
                <w:tab w:val="left" w:pos="858"/>
              </w:tabs>
              <w:spacing w:after="0" w:line="240" w:lineRule="auto"/>
              <w:ind w:left="38" w:right="57" w:hanging="15"/>
              <w:jc w:val="center"/>
              <w:rPr>
                <w:rFonts w:ascii="Arial" w:eastAsia="Arial Narrow" w:hAnsi="Arial" w:cs="Arial"/>
                <w:sz w:val="16"/>
                <w:szCs w:val="16"/>
              </w:rPr>
            </w:pPr>
            <w:r w:rsidRPr="004C4F6D">
              <w:rPr>
                <w:rFonts w:ascii="Arial" w:eastAsia="Arial Narrow" w:hAnsi="Arial" w:cs="Arial"/>
                <w:sz w:val="16"/>
                <w:szCs w:val="16"/>
              </w:rPr>
              <w:t>02-Jan-22</w:t>
            </w:r>
          </w:p>
        </w:tc>
        <w:tc>
          <w:tcPr>
            <w:tcW w:w="1170" w:type="dxa"/>
          </w:tcPr>
          <w:p w14:paraId="6C77CCEB" w14:textId="77777777" w:rsidR="00312FC6" w:rsidRPr="004C4F6D" w:rsidRDefault="003919DE" w:rsidP="004C4F6D">
            <w:pPr>
              <w:spacing w:after="0" w:line="240" w:lineRule="auto"/>
              <w:ind w:left="27" w:right="57" w:hanging="27"/>
              <w:jc w:val="right"/>
              <w:rPr>
                <w:rFonts w:ascii="Arial" w:eastAsia="Arial Narrow" w:hAnsi="Arial" w:cs="Arial"/>
                <w:sz w:val="16"/>
                <w:szCs w:val="16"/>
              </w:rPr>
            </w:pPr>
            <w:r w:rsidRPr="004C4F6D">
              <w:rPr>
                <w:rFonts w:ascii="Arial" w:eastAsia="Arial Narrow" w:hAnsi="Arial" w:cs="Arial"/>
                <w:sz w:val="16"/>
                <w:szCs w:val="16"/>
              </w:rPr>
              <w:t>3.76000</w:t>
            </w:r>
          </w:p>
        </w:tc>
        <w:tc>
          <w:tcPr>
            <w:tcW w:w="1371" w:type="dxa"/>
          </w:tcPr>
          <w:p w14:paraId="4AFD46FC" w14:textId="77777777" w:rsidR="00312FC6" w:rsidRPr="004C4F6D" w:rsidRDefault="003919DE" w:rsidP="004C4F6D">
            <w:pPr>
              <w:tabs>
                <w:tab w:val="left" w:pos="1029"/>
              </w:tabs>
              <w:spacing w:after="0" w:line="240" w:lineRule="auto"/>
              <w:ind w:left="36" w:right="-51"/>
              <w:jc w:val="right"/>
              <w:rPr>
                <w:rFonts w:ascii="Arial" w:eastAsia="Arial Narrow" w:hAnsi="Arial" w:cs="Arial"/>
                <w:sz w:val="16"/>
                <w:szCs w:val="16"/>
              </w:rPr>
            </w:pPr>
            <w:r w:rsidRPr="004C4F6D">
              <w:rPr>
                <w:rFonts w:ascii="Arial" w:eastAsia="Arial Narrow" w:hAnsi="Arial" w:cs="Arial"/>
                <w:sz w:val="16"/>
                <w:szCs w:val="16"/>
              </w:rPr>
              <w:t>150,305,131</w:t>
            </w:r>
          </w:p>
        </w:tc>
        <w:tc>
          <w:tcPr>
            <w:tcW w:w="1474" w:type="dxa"/>
          </w:tcPr>
          <w:p w14:paraId="719915E0" w14:textId="77777777" w:rsidR="00312FC6" w:rsidRPr="004C4F6D" w:rsidRDefault="003919DE" w:rsidP="004C4F6D">
            <w:pPr>
              <w:spacing w:after="0" w:line="240" w:lineRule="auto"/>
              <w:ind w:left="195"/>
              <w:jc w:val="right"/>
              <w:rPr>
                <w:rFonts w:ascii="Arial" w:eastAsia="Arial Narrow" w:hAnsi="Arial" w:cs="Arial"/>
                <w:sz w:val="16"/>
                <w:szCs w:val="16"/>
              </w:rPr>
            </w:pPr>
            <w:r w:rsidRPr="004C4F6D">
              <w:rPr>
                <w:rFonts w:ascii="Arial" w:eastAsia="Arial Narrow" w:hAnsi="Arial" w:cs="Arial"/>
                <w:sz w:val="16"/>
                <w:szCs w:val="16"/>
              </w:rPr>
              <w:t>150,920,869</w:t>
            </w:r>
          </w:p>
        </w:tc>
      </w:tr>
      <w:tr w:rsidR="00312FC6" w:rsidRPr="004C4F6D" w14:paraId="5010AFF0" w14:textId="77777777" w:rsidTr="002F1504">
        <w:trPr>
          <w:trHeight w:hRule="exact" w:val="311"/>
        </w:trPr>
        <w:tc>
          <w:tcPr>
            <w:tcW w:w="1007" w:type="dxa"/>
          </w:tcPr>
          <w:p w14:paraId="40C57D73" w14:textId="77777777" w:rsidR="00312FC6" w:rsidRPr="004C4F6D" w:rsidRDefault="003919DE" w:rsidP="004C4F6D">
            <w:pPr>
              <w:tabs>
                <w:tab w:val="left" w:pos="686"/>
              </w:tabs>
              <w:spacing w:after="0" w:line="240" w:lineRule="auto"/>
              <w:ind w:right="57" w:firstLine="119"/>
              <w:jc w:val="both"/>
              <w:rPr>
                <w:rFonts w:ascii="Arial" w:eastAsia="Arial Narrow" w:hAnsi="Arial" w:cs="Arial"/>
                <w:sz w:val="16"/>
                <w:szCs w:val="16"/>
              </w:rPr>
            </w:pPr>
            <w:r w:rsidRPr="004C4F6D">
              <w:rPr>
                <w:rFonts w:ascii="Arial" w:eastAsia="Arial Narrow" w:hAnsi="Arial" w:cs="Arial"/>
                <w:sz w:val="16"/>
                <w:szCs w:val="16"/>
              </w:rPr>
              <w:t>134065</w:t>
            </w:r>
          </w:p>
        </w:tc>
        <w:tc>
          <w:tcPr>
            <w:tcW w:w="1022" w:type="dxa"/>
          </w:tcPr>
          <w:p w14:paraId="736A68A9" w14:textId="77777777" w:rsidR="00312FC6" w:rsidRPr="004C4F6D" w:rsidRDefault="003919DE" w:rsidP="004C4F6D">
            <w:pPr>
              <w:tabs>
                <w:tab w:val="left" w:pos="316"/>
              </w:tabs>
              <w:spacing w:after="0" w:line="240" w:lineRule="auto"/>
              <w:ind w:left="158" w:right="-132" w:hanging="268"/>
              <w:jc w:val="center"/>
              <w:rPr>
                <w:rFonts w:ascii="Arial" w:eastAsia="Arial Narrow" w:hAnsi="Arial" w:cs="Arial"/>
                <w:sz w:val="16"/>
                <w:szCs w:val="16"/>
              </w:rPr>
            </w:pPr>
            <w:r w:rsidRPr="004C4F6D">
              <w:rPr>
                <w:rFonts w:ascii="Arial" w:eastAsia="Arial Narrow" w:hAnsi="Arial" w:cs="Arial"/>
                <w:sz w:val="16"/>
                <w:szCs w:val="16"/>
              </w:rPr>
              <w:t>FXTN 03-24</w:t>
            </w:r>
          </w:p>
        </w:tc>
        <w:tc>
          <w:tcPr>
            <w:tcW w:w="1451" w:type="dxa"/>
          </w:tcPr>
          <w:p w14:paraId="543E0AF6" w14:textId="77777777" w:rsidR="00312FC6" w:rsidRPr="004C4F6D" w:rsidRDefault="003919DE" w:rsidP="004C4F6D">
            <w:pPr>
              <w:spacing w:after="0" w:line="240" w:lineRule="auto"/>
              <w:ind w:left="-93" w:right="57"/>
              <w:jc w:val="right"/>
              <w:rPr>
                <w:rFonts w:ascii="Arial" w:eastAsia="Arial Narrow" w:hAnsi="Arial" w:cs="Arial"/>
                <w:sz w:val="16"/>
                <w:szCs w:val="16"/>
              </w:rPr>
            </w:pPr>
            <w:r w:rsidRPr="004C4F6D">
              <w:rPr>
                <w:rFonts w:ascii="Arial" w:eastAsia="Arial Narrow" w:hAnsi="Arial" w:cs="Arial"/>
                <w:sz w:val="16"/>
                <w:szCs w:val="16"/>
              </w:rPr>
              <w:t>600,000,000</w:t>
            </w:r>
          </w:p>
        </w:tc>
        <w:tc>
          <w:tcPr>
            <w:tcW w:w="1214" w:type="dxa"/>
          </w:tcPr>
          <w:p w14:paraId="6B376B09" w14:textId="77777777" w:rsidR="00312FC6" w:rsidRPr="004C4F6D" w:rsidRDefault="003919DE" w:rsidP="004C4F6D">
            <w:pPr>
              <w:tabs>
                <w:tab w:val="left" w:pos="858"/>
              </w:tabs>
              <w:spacing w:after="0" w:line="240" w:lineRule="auto"/>
              <w:ind w:left="38" w:right="57" w:hanging="15"/>
              <w:jc w:val="center"/>
              <w:rPr>
                <w:rFonts w:ascii="Arial" w:eastAsia="Arial Narrow" w:hAnsi="Arial" w:cs="Arial"/>
                <w:sz w:val="16"/>
                <w:szCs w:val="16"/>
              </w:rPr>
            </w:pPr>
            <w:r w:rsidRPr="004C4F6D">
              <w:rPr>
                <w:rFonts w:ascii="Arial" w:eastAsia="Arial Narrow" w:hAnsi="Arial" w:cs="Arial"/>
                <w:sz w:val="16"/>
                <w:szCs w:val="16"/>
              </w:rPr>
              <w:t>02-Oct-21</w:t>
            </w:r>
          </w:p>
        </w:tc>
        <w:tc>
          <w:tcPr>
            <w:tcW w:w="1170" w:type="dxa"/>
          </w:tcPr>
          <w:p w14:paraId="48123925" w14:textId="77777777" w:rsidR="00312FC6" w:rsidRPr="004C4F6D" w:rsidRDefault="003919DE" w:rsidP="004C4F6D">
            <w:pPr>
              <w:spacing w:after="0" w:line="240" w:lineRule="auto"/>
              <w:ind w:left="27" w:right="57" w:hanging="27"/>
              <w:jc w:val="right"/>
              <w:rPr>
                <w:rFonts w:ascii="Arial" w:eastAsia="Arial Narrow" w:hAnsi="Arial" w:cs="Arial"/>
                <w:sz w:val="16"/>
                <w:szCs w:val="16"/>
              </w:rPr>
            </w:pPr>
            <w:r w:rsidRPr="004C4F6D">
              <w:rPr>
                <w:rFonts w:ascii="Arial" w:eastAsia="Arial Narrow" w:hAnsi="Arial" w:cs="Arial"/>
                <w:sz w:val="16"/>
                <w:szCs w:val="16"/>
              </w:rPr>
              <w:t>3.98000</w:t>
            </w:r>
          </w:p>
        </w:tc>
        <w:tc>
          <w:tcPr>
            <w:tcW w:w="1371" w:type="dxa"/>
          </w:tcPr>
          <w:p w14:paraId="7E272A76" w14:textId="77777777" w:rsidR="00312FC6" w:rsidRPr="004C4F6D" w:rsidRDefault="003919DE" w:rsidP="004C4F6D">
            <w:pPr>
              <w:tabs>
                <w:tab w:val="left" w:pos="1029"/>
              </w:tabs>
              <w:spacing w:after="0" w:line="240" w:lineRule="auto"/>
              <w:ind w:left="36" w:right="-51"/>
              <w:jc w:val="right"/>
              <w:rPr>
                <w:rFonts w:ascii="Arial" w:eastAsia="Arial Narrow" w:hAnsi="Arial" w:cs="Arial"/>
                <w:sz w:val="16"/>
                <w:szCs w:val="16"/>
              </w:rPr>
            </w:pPr>
            <w:r w:rsidRPr="004C4F6D">
              <w:rPr>
                <w:rFonts w:ascii="Arial" w:eastAsia="Arial Narrow" w:hAnsi="Arial" w:cs="Arial"/>
                <w:sz w:val="16"/>
                <w:szCs w:val="16"/>
              </w:rPr>
              <w:t>600,950,836</w:t>
            </w:r>
          </w:p>
        </w:tc>
        <w:tc>
          <w:tcPr>
            <w:tcW w:w="1474" w:type="dxa"/>
          </w:tcPr>
          <w:p w14:paraId="3F94F1E5" w14:textId="77777777" w:rsidR="00312FC6" w:rsidRPr="004C4F6D" w:rsidRDefault="003919DE" w:rsidP="004C4F6D">
            <w:pPr>
              <w:spacing w:after="0" w:line="240" w:lineRule="auto"/>
              <w:ind w:left="195"/>
              <w:jc w:val="right"/>
              <w:rPr>
                <w:rFonts w:ascii="Arial" w:eastAsia="Arial Narrow" w:hAnsi="Arial" w:cs="Arial"/>
                <w:sz w:val="16"/>
                <w:szCs w:val="16"/>
              </w:rPr>
            </w:pPr>
            <w:r w:rsidRPr="004C4F6D">
              <w:rPr>
                <w:rFonts w:ascii="Arial" w:eastAsia="Arial Narrow" w:hAnsi="Arial" w:cs="Arial"/>
                <w:sz w:val="16"/>
                <w:szCs w:val="16"/>
              </w:rPr>
              <w:t>603,683,477</w:t>
            </w:r>
          </w:p>
        </w:tc>
      </w:tr>
      <w:tr w:rsidR="00312FC6" w:rsidRPr="004C4F6D" w14:paraId="0F6C4F4B" w14:textId="77777777" w:rsidTr="002F1504">
        <w:trPr>
          <w:trHeight w:hRule="exact" w:val="293"/>
        </w:trPr>
        <w:tc>
          <w:tcPr>
            <w:tcW w:w="1007" w:type="dxa"/>
            <w:tcBorders>
              <w:bottom w:val="single" w:sz="4" w:space="0" w:color="auto"/>
            </w:tcBorders>
          </w:tcPr>
          <w:p w14:paraId="2B3A6A8C" w14:textId="77777777" w:rsidR="00312FC6" w:rsidRPr="004C4F6D" w:rsidRDefault="003919DE" w:rsidP="004C4F6D">
            <w:pPr>
              <w:tabs>
                <w:tab w:val="left" w:pos="686"/>
              </w:tabs>
              <w:spacing w:after="0" w:line="240" w:lineRule="auto"/>
              <w:ind w:right="57" w:firstLine="119"/>
              <w:jc w:val="both"/>
              <w:rPr>
                <w:rFonts w:ascii="Arial" w:eastAsia="Arial Narrow" w:hAnsi="Arial" w:cs="Arial"/>
                <w:sz w:val="16"/>
                <w:szCs w:val="16"/>
              </w:rPr>
            </w:pPr>
            <w:r w:rsidRPr="004C4F6D">
              <w:rPr>
                <w:rFonts w:ascii="Arial" w:eastAsia="Arial Narrow" w:hAnsi="Arial" w:cs="Arial"/>
                <w:sz w:val="16"/>
                <w:szCs w:val="16"/>
              </w:rPr>
              <w:t>111523</w:t>
            </w:r>
          </w:p>
        </w:tc>
        <w:tc>
          <w:tcPr>
            <w:tcW w:w="1022" w:type="dxa"/>
            <w:tcBorders>
              <w:bottom w:val="single" w:sz="4" w:space="0" w:color="auto"/>
            </w:tcBorders>
          </w:tcPr>
          <w:p w14:paraId="7B1646F6" w14:textId="77777777" w:rsidR="00312FC6" w:rsidRPr="004C4F6D" w:rsidRDefault="003919DE" w:rsidP="004C4F6D">
            <w:pPr>
              <w:tabs>
                <w:tab w:val="left" w:pos="316"/>
              </w:tabs>
              <w:spacing w:after="0" w:line="240" w:lineRule="auto"/>
              <w:ind w:left="158" w:right="-132" w:hanging="268"/>
              <w:jc w:val="center"/>
              <w:rPr>
                <w:rFonts w:ascii="Arial" w:eastAsia="Arial Narrow" w:hAnsi="Arial" w:cs="Arial"/>
                <w:sz w:val="16"/>
                <w:szCs w:val="16"/>
              </w:rPr>
            </w:pPr>
            <w:r w:rsidRPr="004C4F6D">
              <w:rPr>
                <w:rFonts w:ascii="Arial" w:eastAsia="Arial Narrow" w:hAnsi="Arial" w:cs="Arial"/>
                <w:sz w:val="16"/>
                <w:szCs w:val="16"/>
              </w:rPr>
              <w:t>FXTN 03-24</w:t>
            </w:r>
          </w:p>
        </w:tc>
        <w:tc>
          <w:tcPr>
            <w:tcW w:w="1451" w:type="dxa"/>
            <w:tcBorders>
              <w:bottom w:val="single" w:sz="4" w:space="0" w:color="auto"/>
            </w:tcBorders>
          </w:tcPr>
          <w:p w14:paraId="20AD3DDC" w14:textId="77777777" w:rsidR="00312FC6" w:rsidRPr="004C4F6D" w:rsidRDefault="003919DE" w:rsidP="004C4F6D">
            <w:pPr>
              <w:spacing w:after="0" w:line="240" w:lineRule="auto"/>
              <w:ind w:left="-93" w:right="57"/>
              <w:jc w:val="right"/>
              <w:rPr>
                <w:rFonts w:ascii="Arial" w:eastAsia="Arial Narrow" w:hAnsi="Arial" w:cs="Arial"/>
                <w:sz w:val="16"/>
                <w:szCs w:val="16"/>
              </w:rPr>
            </w:pPr>
            <w:r w:rsidRPr="004C4F6D">
              <w:rPr>
                <w:rFonts w:ascii="Arial" w:eastAsia="Arial Narrow" w:hAnsi="Arial" w:cs="Arial"/>
                <w:sz w:val="16"/>
                <w:szCs w:val="16"/>
              </w:rPr>
              <w:t>4,525,000,000</w:t>
            </w:r>
          </w:p>
        </w:tc>
        <w:tc>
          <w:tcPr>
            <w:tcW w:w="1214" w:type="dxa"/>
            <w:tcBorders>
              <w:bottom w:val="single" w:sz="4" w:space="0" w:color="auto"/>
            </w:tcBorders>
          </w:tcPr>
          <w:p w14:paraId="312AE961" w14:textId="77777777" w:rsidR="00312FC6" w:rsidRPr="004C4F6D" w:rsidRDefault="003919DE" w:rsidP="004C4F6D">
            <w:pPr>
              <w:tabs>
                <w:tab w:val="left" w:pos="858"/>
              </w:tabs>
              <w:spacing w:after="0" w:line="240" w:lineRule="auto"/>
              <w:ind w:left="38" w:right="57" w:hanging="15"/>
              <w:jc w:val="center"/>
              <w:rPr>
                <w:rFonts w:ascii="Arial" w:eastAsia="Arial Narrow" w:hAnsi="Arial" w:cs="Arial"/>
                <w:sz w:val="16"/>
                <w:szCs w:val="16"/>
              </w:rPr>
            </w:pPr>
            <w:r w:rsidRPr="004C4F6D">
              <w:rPr>
                <w:rFonts w:ascii="Arial" w:eastAsia="Arial Narrow" w:hAnsi="Arial" w:cs="Arial"/>
                <w:sz w:val="16"/>
                <w:szCs w:val="16"/>
              </w:rPr>
              <w:t>04-Jul-21</w:t>
            </w:r>
          </w:p>
        </w:tc>
        <w:tc>
          <w:tcPr>
            <w:tcW w:w="1170" w:type="dxa"/>
            <w:tcBorders>
              <w:bottom w:val="single" w:sz="4" w:space="0" w:color="auto"/>
            </w:tcBorders>
          </w:tcPr>
          <w:p w14:paraId="5647FA84" w14:textId="77777777" w:rsidR="00312FC6" w:rsidRPr="004C4F6D" w:rsidRDefault="003919DE" w:rsidP="004C4F6D">
            <w:pPr>
              <w:spacing w:after="0" w:line="240" w:lineRule="auto"/>
              <w:ind w:left="27" w:right="57" w:hanging="27"/>
              <w:jc w:val="right"/>
              <w:rPr>
                <w:rFonts w:ascii="Arial" w:eastAsia="Arial Narrow" w:hAnsi="Arial" w:cs="Arial"/>
                <w:sz w:val="16"/>
                <w:szCs w:val="16"/>
              </w:rPr>
            </w:pPr>
            <w:r w:rsidRPr="004C4F6D">
              <w:rPr>
                <w:rFonts w:ascii="Arial" w:eastAsia="Arial Narrow" w:hAnsi="Arial" w:cs="Arial"/>
                <w:sz w:val="16"/>
                <w:szCs w:val="16"/>
              </w:rPr>
              <w:t>4.75000</w:t>
            </w:r>
          </w:p>
        </w:tc>
        <w:tc>
          <w:tcPr>
            <w:tcW w:w="1371" w:type="dxa"/>
            <w:tcBorders>
              <w:bottom w:val="single" w:sz="4" w:space="0" w:color="auto"/>
            </w:tcBorders>
          </w:tcPr>
          <w:p w14:paraId="22627059" w14:textId="77777777" w:rsidR="00312FC6" w:rsidRPr="004C4F6D" w:rsidRDefault="003919DE" w:rsidP="004C4F6D">
            <w:pPr>
              <w:tabs>
                <w:tab w:val="left" w:pos="1029"/>
              </w:tabs>
              <w:spacing w:after="0" w:line="240" w:lineRule="auto"/>
              <w:ind w:left="36" w:right="-51"/>
              <w:jc w:val="right"/>
              <w:rPr>
                <w:rFonts w:ascii="Arial" w:eastAsia="Arial Narrow" w:hAnsi="Arial" w:cs="Arial"/>
                <w:sz w:val="16"/>
                <w:szCs w:val="16"/>
              </w:rPr>
            </w:pPr>
            <w:r w:rsidRPr="004C4F6D">
              <w:rPr>
                <w:rFonts w:ascii="Arial" w:eastAsia="Arial Narrow" w:hAnsi="Arial" w:cs="Arial"/>
                <w:sz w:val="16"/>
                <w:szCs w:val="16"/>
              </w:rPr>
              <w:t>4,525,000,000</w:t>
            </w:r>
          </w:p>
        </w:tc>
        <w:tc>
          <w:tcPr>
            <w:tcW w:w="1474" w:type="dxa"/>
            <w:tcBorders>
              <w:bottom w:val="single" w:sz="4" w:space="0" w:color="auto"/>
            </w:tcBorders>
          </w:tcPr>
          <w:p w14:paraId="357CCA5E" w14:textId="77777777" w:rsidR="00312FC6" w:rsidRPr="004C4F6D" w:rsidRDefault="003919DE" w:rsidP="004C4F6D">
            <w:pPr>
              <w:spacing w:after="0" w:line="240" w:lineRule="auto"/>
              <w:ind w:left="195"/>
              <w:jc w:val="right"/>
              <w:rPr>
                <w:rFonts w:ascii="Arial" w:eastAsia="Arial Narrow" w:hAnsi="Arial" w:cs="Arial"/>
                <w:sz w:val="16"/>
                <w:szCs w:val="16"/>
              </w:rPr>
            </w:pPr>
            <w:r w:rsidRPr="004C4F6D">
              <w:rPr>
                <w:rFonts w:ascii="Arial" w:eastAsia="Arial Narrow" w:hAnsi="Arial" w:cs="Arial"/>
                <w:sz w:val="16"/>
                <w:szCs w:val="16"/>
              </w:rPr>
              <w:t>4,552,779,555</w:t>
            </w:r>
          </w:p>
        </w:tc>
      </w:tr>
      <w:tr w:rsidR="00312FC6" w:rsidRPr="004C4F6D" w14:paraId="3D3F5BB0" w14:textId="77777777" w:rsidTr="002F1504">
        <w:trPr>
          <w:trHeight w:hRule="exact" w:val="295"/>
        </w:trPr>
        <w:tc>
          <w:tcPr>
            <w:tcW w:w="1007" w:type="dxa"/>
            <w:tcBorders>
              <w:top w:val="single" w:sz="4" w:space="0" w:color="auto"/>
              <w:left w:val="nil"/>
              <w:bottom w:val="double" w:sz="4" w:space="0" w:color="auto"/>
              <w:right w:val="nil"/>
            </w:tcBorders>
            <w:vAlign w:val="center"/>
          </w:tcPr>
          <w:p w14:paraId="492AAD3D" w14:textId="77777777" w:rsidR="00312FC6" w:rsidRPr="004C4F6D" w:rsidRDefault="003919DE" w:rsidP="004C4F6D">
            <w:pPr>
              <w:tabs>
                <w:tab w:val="left" w:pos="686"/>
              </w:tabs>
              <w:spacing w:after="0" w:line="240" w:lineRule="auto"/>
              <w:ind w:right="57" w:firstLine="119"/>
              <w:jc w:val="both"/>
              <w:rPr>
                <w:rFonts w:ascii="Arial" w:eastAsia="Arial Narrow" w:hAnsi="Arial" w:cs="Arial"/>
                <w:b/>
                <w:bCs/>
                <w:sz w:val="16"/>
                <w:szCs w:val="16"/>
                <w:lang w:val="en-US"/>
              </w:rPr>
            </w:pPr>
            <w:r w:rsidRPr="004C4F6D">
              <w:rPr>
                <w:rFonts w:ascii="Arial" w:eastAsia="Arial Narrow" w:hAnsi="Arial" w:cs="Arial"/>
                <w:b/>
                <w:bCs/>
                <w:sz w:val="16"/>
                <w:szCs w:val="16"/>
                <w:lang w:val="en-US"/>
              </w:rPr>
              <w:t>Total</w:t>
            </w:r>
          </w:p>
        </w:tc>
        <w:tc>
          <w:tcPr>
            <w:tcW w:w="1022" w:type="dxa"/>
            <w:tcBorders>
              <w:top w:val="single" w:sz="4" w:space="0" w:color="auto"/>
              <w:left w:val="nil"/>
              <w:bottom w:val="double" w:sz="4" w:space="0" w:color="auto"/>
              <w:right w:val="nil"/>
            </w:tcBorders>
            <w:vAlign w:val="center"/>
          </w:tcPr>
          <w:p w14:paraId="0544D175" w14:textId="77777777" w:rsidR="00312FC6" w:rsidRPr="004C4F6D" w:rsidRDefault="00312FC6" w:rsidP="004C4F6D">
            <w:pPr>
              <w:tabs>
                <w:tab w:val="left" w:pos="316"/>
              </w:tabs>
              <w:spacing w:after="0" w:line="240" w:lineRule="auto"/>
              <w:ind w:left="158" w:right="-132" w:hanging="268"/>
              <w:jc w:val="center"/>
              <w:rPr>
                <w:rFonts w:ascii="Arial" w:eastAsia="Arial Narrow" w:hAnsi="Arial" w:cs="Arial"/>
                <w:b/>
                <w:bCs/>
                <w:sz w:val="16"/>
                <w:szCs w:val="16"/>
              </w:rPr>
            </w:pPr>
          </w:p>
        </w:tc>
        <w:tc>
          <w:tcPr>
            <w:tcW w:w="1451" w:type="dxa"/>
            <w:tcBorders>
              <w:top w:val="single" w:sz="4" w:space="0" w:color="auto"/>
              <w:left w:val="nil"/>
              <w:bottom w:val="double" w:sz="4" w:space="0" w:color="auto"/>
              <w:right w:val="nil"/>
            </w:tcBorders>
            <w:vAlign w:val="center"/>
          </w:tcPr>
          <w:p w14:paraId="3C24363E" w14:textId="77777777" w:rsidR="00312FC6" w:rsidRPr="004C4F6D" w:rsidRDefault="003919DE" w:rsidP="004C4F6D">
            <w:pPr>
              <w:spacing w:after="0" w:line="240" w:lineRule="auto"/>
              <w:ind w:left="-93" w:right="57"/>
              <w:jc w:val="right"/>
              <w:rPr>
                <w:rFonts w:ascii="Arial" w:eastAsia="Arial Narrow" w:hAnsi="Arial" w:cs="Arial"/>
                <w:b/>
                <w:bCs/>
                <w:sz w:val="16"/>
                <w:szCs w:val="16"/>
                <w:lang w:val="en-US"/>
              </w:rPr>
            </w:pPr>
            <w:r w:rsidRPr="004C4F6D">
              <w:rPr>
                <w:rFonts w:ascii="Arial" w:eastAsia="Arial Narrow" w:hAnsi="Arial" w:cs="Arial"/>
                <w:b/>
                <w:bCs/>
                <w:sz w:val="16"/>
                <w:szCs w:val="16"/>
                <w:lang w:val="en-US"/>
              </w:rPr>
              <w:t>8,917,326,000</w:t>
            </w:r>
          </w:p>
        </w:tc>
        <w:tc>
          <w:tcPr>
            <w:tcW w:w="1214" w:type="dxa"/>
            <w:tcBorders>
              <w:top w:val="single" w:sz="4" w:space="0" w:color="auto"/>
              <w:left w:val="nil"/>
              <w:bottom w:val="double" w:sz="4" w:space="0" w:color="auto"/>
              <w:right w:val="nil"/>
            </w:tcBorders>
            <w:vAlign w:val="center"/>
          </w:tcPr>
          <w:p w14:paraId="5441BFF7" w14:textId="77777777" w:rsidR="00312FC6" w:rsidRPr="004C4F6D" w:rsidRDefault="00312FC6" w:rsidP="004C4F6D">
            <w:pPr>
              <w:tabs>
                <w:tab w:val="left" w:pos="858"/>
              </w:tabs>
              <w:spacing w:after="0" w:line="240" w:lineRule="auto"/>
              <w:ind w:left="38" w:right="57" w:hanging="15"/>
              <w:jc w:val="center"/>
              <w:rPr>
                <w:rFonts w:ascii="Arial" w:eastAsia="Arial Narrow" w:hAnsi="Arial" w:cs="Arial"/>
                <w:b/>
                <w:bCs/>
                <w:sz w:val="16"/>
                <w:szCs w:val="16"/>
              </w:rPr>
            </w:pPr>
          </w:p>
        </w:tc>
        <w:tc>
          <w:tcPr>
            <w:tcW w:w="1170" w:type="dxa"/>
            <w:tcBorders>
              <w:top w:val="single" w:sz="4" w:space="0" w:color="auto"/>
              <w:left w:val="nil"/>
              <w:bottom w:val="double" w:sz="4" w:space="0" w:color="auto"/>
              <w:right w:val="nil"/>
            </w:tcBorders>
            <w:vAlign w:val="center"/>
          </w:tcPr>
          <w:p w14:paraId="796E3F98" w14:textId="77777777" w:rsidR="00312FC6" w:rsidRPr="004C4F6D" w:rsidRDefault="00312FC6" w:rsidP="004C4F6D">
            <w:pPr>
              <w:spacing w:after="0" w:line="240" w:lineRule="auto"/>
              <w:ind w:left="27" w:right="57" w:hanging="27"/>
              <w:jc w:val="right"/>
              <w:rPr>
                <w:rFonts w:ascii="Arial" w:eastAsia="Arial Narrow" w:hAnsi="Arial" w:cs="Arial"/>
                <w:b/>
                <w:bCs/>
                <w:sz w:val="16"/>
                <w:szCs w:val="16"/>
              </w:rPr>
            </w:pPr>
          </w:p>
        </w:tc>
        <w:tc>
          <w:tcPr>
            <w:tcW w:w="1371" w:type="dxa"/>
            <w:tcBorders>
              <w:top w:val="single" w:sz="4" w:space="0" w:color="auto"/>
              <w:left w:val="nil"/>
              <w:bottom w:val="double" w:sz="4" w:space="0" w:color="auto"/>
              <w:right w:val="nil"/>
            </w:tcBorders>
            <w:vAlign w:val="center"/>
          </w:tcPr>
          <w:p w14:paraId="158A9465" w14:textId="77777777" w:rsidR="00312FC6" w:rsidRPr="004C4F6D" w:rsidRDefault="003919DE" w:rsidP="004C4F6D">
            <w:pPr>
              <w:tabs>
                <w:tab w:val="left" w:pos="1029"/>
              </w:tabs>
              <w:spacing w:after="0" w:line="240" w:lineRule="auto"/>
              <w:ind w:left="36" w:right="-51"/>
              <w:jc w:val="right"/>
              <w:rPr>
                <w:rFonts w:ascii="Arial" w:eastAsia="Arial Narrow" w:hAnsi="Arial" w:cs="Arial"/>
                <w:b/>
                <w:bCs/>
                <w:sz w:val="16"/>
                <w:szCs w:val="16"/>
                <w:lang w:val="en-US"/>
              </w:rPr>
            </w:pPr>
            <w:r w:rsidRPr="004C4F6D">
              <w:rPr>
                <w:rFonts w:ascii="Arial" w:eastAsia="Arial Narrow" w:hAnsi="Arial" w:cs="Arial"/>
                <w:b/>
                <w:bCs/>
                <w:sz w:val="16"/>
                <w:szCs w:val="16"/>
                <w:lang w:val="en-US"/>
              </w:rPr>
              <w:t>8,926,084,823</w:t>
            </w:r>
          </w:p>
        </w:tc>
        <w:tc>
          <w:tcPr>
            <w:tcW w:w="1474" w:type="dxa"/>
            <w:tcBorders>
              <w:top w:val="single" w:sz="4" w:space="0" w:color="auto"/>
              <w:left w:val="nil"/>
              <w:bottom w:val="double" w:sz="4" w:space="0" w:color="auto"/>
              <w:right w:val="nil"/>
            </w:tcBorders>
            <w:vAlign w:val="center"/>
          </w:tcPr>
          <w:p w14:paraId="006BA902" w14:textId="77777777" w:rsidR="00312FC6" w:rsidRPr="004C4F6D" w:rsidRDefault="003919DE" w:rsidP="004C4F6D">
            <w:pPr>
              <w:spacing w:after="0" w:line="240" w:lineRule="auto"/>
              <w:ind w:left="195"/>
              <w:jc w:val="right"/>
              <w:rPr>
                <w:rFonts w:ascii="Arial" w:eastAsia="Arial Narrow" w:hAnsi="Arial" w:cs="Arial"/>
                <w:b/>
                <w:bCs/>
                <w:sz w:val="16"/>
                <w:szCs w:val="16"/>
                <w:lang w:val="en-US"/>
              </w:rPr>
            </w:pPr>
            <w:r w:rsidRPr="004C4F6D">
              <w:rPr>
                <w:rFonts w:ascii="Arial" w:eastAsia="Arial Narrow" w:hAnsi="Arial" w:cs="Arial"/>
                <w:b/>
                <w:bCs/>
                <w:sz w:val="16"/>
                <w:szCs w:val="16"/>
                <w:lang w:val="en-US"/>
              </w:rPr>
              <w:t>8,972,070,607</w:t>
            </w:r>
          </w:p>
        </w:tc>
      </w:tr>
    </w:tbl>
    <w:p w14:paraId="42AD3DFD" w14:textId="77777777" w:rsidR="00312FC6" w:rsidRPr="004C4F6D" w:rsidRDefault="00312FC6" w:rsidP="004C4F6D">
      <w:pPr>
        <w:pStyle w:val="ListParagraph"/>
        <w:spacing w:after="0" w:line="240" w:lineRule="auto"/>
        <w:ind w:left="0"/>
        <w:jc w:val="both"/>
        <w:rPr>
          <w:rFonts w:ascii="Arial" w:hAnsi="Arial" w:cs="Arial"/>
          <w:lang w:eastAsia="ar-SA"/>
        </w:rPr>
      </w:pPr>
    </w:p>
    <w:p w14:paraId="0B2FEA0E"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rPr>
        <w:t>Assuming that the Bank sold P4.00 billion worth of FXTN and intends to apply the parameter to maximize returns, the deal with lowest yield is selected and the proceeds reinvested in higher yielding financial assets. Thus, the list of securities to be derecognized given the strategy implemented and using the above outstanding inventory are as follows:</w:t>
      </w:r>
    </w:p>
    <w:tbl>
      <w:tblPr>
        <w:tblpPr w:leftFromText="180" w:rightFromText="180" w:vertAnchor="text" w:horzAnchor="page" w:tblpX="2141" w:tblpY="240"/>
        <w:tblOverlap w:val="never"/>
        <w:tblW w:w="8597" w:type="dxa"/>
        <w:tblLayout w:type="fixed"/>
        <w:tblLook w:val="04A0" w:firstRow="1" w:lastRow="0" w:firstColumn="1" w:lastColumn="0" w:noHBand="0" w:noVBand="1"/>
      </w:tblPr>
      <w:tblGrid>
        <w:gridCol w:w="860"/>
        <w:gridCol w:w="972"/>
        <w:gridCol w:w="1323"/>
        <w:gridCol w:w="1001"/>
        <w:gridCol w:w="717"/>
        <w:gridCol w:w="1289"/>
        <w:gridCol w:w="1289"/>
        <w:gridCol w:w="1146"/>
      </w:tblGrid>
      <w:tr w:rsidR="00312FC6" w:rsidRPr="004C4F6D" w14:paraId="0A6E2D51" w14:textId="77777777">
        <w:trPr>
          <w:trHeight w:hRule="exact" w:val="605"/>
          <w:tblHeader/>
        </w:trPr>
        <w:tc>
          <w:tcPr>
            <w:tcW w:w="860" w:type="dxa"/>
            <w:tcBorders>
              <w:top w:val="single" w:sz="4" w:space="0" w:color="auto"/>
              <w:bottom w:val="single" w:sz="4" w:space="0" w:color="auto"/>
            </w:tcBorders>
          </w:tcPr>
          <w:p w14:paraId="4832D814" w14:textId="77777777" w:rsidR="00312FC6" w:rsidRPr="004C4F6D" w:rsidRDefault="003919DE" w:rsidP="004C4F6D">
            <w:pPr>
              <w:spacing w:after="0" w:line="240" w:lineRule="auto"/>
              <w:ind w:left="-40" w:right="30" w:firstLine="16"/>
              <w:jc w:val="center"/>
              <w:rPr>
                <w:rFonts w:ascii="Arial" w:eastAsia="Arial Narrow" w:hAnsi="Arial" w:cs="Arial"/>
                <w:b/>
                <w:sz w:val="16"/>
                <w:szCs w:val="16"/>
              </w:rPr>
            </w:pPr>
            <w:r w:rsidRPr="004C4F6D">
              <w:rPr>
                <w:rFonts w:ascii="Arial" w:eastAsia="Arial Narrow" w:hAnsi="Arial" w:cs="Arial"/>
                <w:b/>
                <w:sz w:val="16"/>
                <w:szCs w:val="16"/>
              </w:rPr>
              <w:t>Deal Number</w:t>
            </w:r>
          </w:p>
        </w:tc>
        <w:tc>
          <w:tcPr>
            <w:tcW w:w="972" w:type="dxa"/>
            <w:tcBorders>
              <w:top w:val="single" w:sz="4" w:space="0" w:color="auto"/>
              <w:bottom w:val="single" w:sz="4" w:space="0" w:color="auto"/>
            </w:tcBorders>
          </w:tcPr>
          <w:p w14:paraId="61984B8F" w14:textId="77777777" w:rsidR="00312FC6" w:rsidRPr="004C4F6D" w:rsidRDefault="003919DE" w:rsidP="004C4F6D">
            <w:pPr>
              <w:spacing w:after="0" w:line="240" w:lineRule="auto"/>
              <w:ind w:left="195" w:right="140"/>
              <w:jc w:val="center"/>
              <w:rPr>
                <w:rFonts w:ascii="Arial" w:eastAsia="Arial Narrow" w:hAnsi="Arial" w:cs="Arial"/>
                <w:b/>
                <w:sz w:val="16"/>
                <w:szCs w:val="16"/>
              </w:rPr>
            </w:pPr>
            <w:r w:rsidRPr="004C4F6D">
              <w:rPr>
                <w:rFonts w:ascii="Arial" w:eastAsia="Arial Narrow" w:hAnsi="Arial" w:cs="Arial"/>
                <w:b/>
                <w:sz w:val="16"/>
                <w:szCs w:val="16"/>
              </w:rPr>
              <w:t>ISIN</w:t>
            </w:r>
          </w:p>
        </w:tc>
        <w:tc>
          <w:tcPr>
            <w:tcW w:w="1323" w:type="dxa"/>
            <w:tcBorders>
              <w:top w:val="single" w:sz="4" w:space="0" w:color="auto"/>
              <w:bottom w:val="single" w:sz="4" w:space="0" w:color="auto"/>
            </w:tcBorders>
          </w:tcPr>
          <w:p w14:paraId="2A97940D" w14:textId="77777777" w:rsidR="00312FC6" w:rsidRPr="004C4F6D" w:rsidRDefault="003919DE" w:rsidP="004C4F6D">
            <w:pPr>
              <w:spacing w:after="0" w:line="240" w:lineRule="auto"/>
              <w:ind w:left="195" w:right="140"/>
              <w:jc w:val="center"/>
              <w:rPr>
                <w:rFonts w:ascii="Arial" w:eastAsia="Arial Narrow" w:hAnsi="Arial" w:cs="Arial"/>
                <w:b/>
                <w:sz w:val="16"/>
                <w:szCs w:val="16"/>
              </w:rPr>
            </w:pPr>
            <w:r w:rsidRPr="004C4F6D">
              <w:rPr>
                <w:rFonts w:ascii="Arial" w:eastAsia="Arial Narrow" w:hAnsi="Arial" w:cs="Arial"/>
                <w:b/>
                <w:sz w:val="16"/>
                <w:szCs w:val="16"/>
              </w:rPr>
              <w:t>Face Value</w:t>
            </w:r>
          </w:p>
        </w:tc>
        <w:tc>
          <w:tcPr>
            <w:tcW w:w="1001" w:type="dxa"/>
            <w:tcBorders>
              <w:top w:val="single" w:sz="4" w:space="0" w:color="auto"/>
              <w:bottom w:val="single" w:sz="4" w:space="0" w:color="auto"/>
            </w:tcBorders>
          </w:tcPr>
          <w:p w14:paraId="14178E2B" w14:textId="77777777" w:rsidR="00312FC6" w:rsidRPr="004C4F6D" w:rsidRDefault="003919DE" w:rsidP="004C4F6D">
            <w:pPr>
              <w:spacing w:after="0" w:line="240" w:lineRule="auto"/>
              <w:ind w:right="31" w:hanging="30"/>
              <w:jc w:val="center"/>
              <w:rPr>
                <w:rFonts w:ascii="Arial" w:eastAsia="Arial Narrow" w:hAnsi="Arial" w:cs="Arial"/>
                <w:b/>
                <w:sz w:val="16"/>
                <w:szCs w:val="16"/>
              </w:rPr>
            </w:pPr>
            <w:r w:rsidRPr="004C4F6D">
              <w:rPr>
                <w:rFonts w:ascii="Arial" w:eastAsia="Arial Narrow" w:hAnsi="Arial" w:cs="Arial"/>
                <w:b/>
                <w:sz w:val="16"/>
                <w:szCs w:val="16"/>
              </w:rPr>
              <w:t>Purchase Date</w:t>
            </w:r>
          </w:p>
        </w:tc>
        <w:tc>
          <w:tcPr>
            <w:tcW w:w="717" w:type="dxa"/>
            <w:tcBorders>
              <w:top w:val="single" w:sz="4" w:space="0" w:color="auto"/>
              <w:bottom w:val="single" w:sz="4" w:space="0" w:color="auto"/>
            </w:tcBorders>
          </w:tcPr>
          <w:p w14:paraId="66B5BA1F" w14:textId="77777777" w:rsidR="00312FC6" w:rsidRPr="004C4F6D" w:rsidRDefault="003919DE" w:rsidP="004C4F6D">
            <w:pPr>
              <w:spacing w:after="0" w:line="240" w:lineRule="auto"/>
              <w:ind w:right="35"/>
              <w:jc w:val="center"/>
              <w:rPr>
                <w:rFonts w:ascii="Arial" w:eastAsia="Arial Narrow" w:hAnsi="Arial" w:cs="Arial"/>
                <w:b/>
                <w:sz w:val="16"/>
                <w:szCs w:val="16"/>
              </w:rPr>
            </w:pPr>
            <w:r w:rsidRPr="004C4F6D">
              <w:rPr>
                <w:rFonts w:ascii="Arial" w:eastAsia="Arial Narrow" w:hAnsi="Arial" w:cs="Arial"/>
                <w:b/>
                <w:sz w:val="16"/>
                <w:szCs w:val="16"/>
              </w:rPr>
              <w:t>Purchase Rate</w:t>
            </w:r>
          </w:p>
        </w:tc>
        <w:tc>
          <w:tcPr>
            <w:tcW w:w="1289" w:type="dxa"/>
            <w:tcBorders>
              <w:top w:val="single" w:sz="4" w:space="0" w:color="auto"/>
              <w:bottom w:val="single" w:sz="4" w:space="0" w:color="auto"/>
            </w:tcBorders>
          </w:tcPr>
          <w:p w14:paraId="64B2216F" w14:textId="77777777" w:rsidR="00312FC6" w:rsidRPr="004C4F6D" w:rsidRDefault="003919DE" w:rsidP="004C4F6D">
            <w:pPr>
              <w:spacing w:after="0" w:line="240" w:lineRule="auto"/>
              <w:ind w:left="33" w:right="31" w:hanging="33"/>
              <w:jc w:val="center"/>
              <w:rPr>
                <w:rFonts w:ascii="Arial" w:eastAsia="Arial Narrow" w:hAnsi="Arial" w:cs="Arial"/>
                <w:b/>
                <w:sz w:val="16"/>
                <w:szCs w:val="16"/>
              </w:rPr>
            </w:pPr>
            <w:r w:rsidRPr="004C4F6D">
              <w:rPr>
                <w:rFonts w:ascii="Arial" w:eastAsia="Arial Narrow" w:hAnsi="Arial" w:cs="Arial"/>
                <w:b/>
                <w:sz w:val="16"/>
                <w:szCs w:val="16"/>
              </w:rPr>
              <w:t>Carrying Amount</w:t>
            </w:r>
          </w:p>
        </w:tc>
        <w:tc>
          <w:tcPr>
            <w:tcW w:w="1289" w:type="dxa"/>
            <w:tcBorders>
              <w:top w:val="single" w:sz="4" w:space="0" w:color="auto"/>
              <w:bottom w:val="single" w:sz="4" w:space="0" w:color="auto"/>
            </w:tcBorders>
          </w:tcPr>
          <w:p w14:paraId="20B987ED" w14:textId="77777777" w:rsidR="00312FC6" w:rsidRPr="004C4F6D" w:rsidRDefault="003919DE" w:rsidP="004C4F6D">
            <w:pPr>
              <w:spacing w:after="0" w:line="240" w:lineRule="auto"/>
              <w:ind w:right="39"/>
              <w:jc w:val="center"/>
              <w:rPr>
                <w:rFonts w:ascii="Arial" w:eastAsia="Arial Narrow" w:hAnsi="Arial" w:cs="Arial"/>
                <w:b/>
                <w:sz w:val="16"/>
                <w:szCs w:val="16"/>
              </w:rPr>
            </w:pPr>
            <w:r w:rsidRPr="004C4F6D">
              <w:rPr>
                <w:rFonts w:ascii="Arial" w:eastAsia="Arial Narrow" w:hAnsi="Arial" w:cs="Arial"/>
                <w:b/>
                <w:sz w:val="16"/>
                <w:szCs w:val="16"/>
              </w:rPr>
              <w:t>Market Value</w:t>
            </w:r>
          </w:p>
        </w:tc>
        <w:tc>
          <w:tcPr>
            <w:tcW w:w="1146" w:type="dxa"/>
            <w:tcBorders>
              <w:top w:val="single" w:sz="4" w:space="0" w:color="auto"/>
              <w:bottom w:val="single" w:sz="4" w:space="0" w:color="auto"/>
            </w:tcBorders>
          </w:tcPr>
          <w:p w14:paraId="08A05875" w14:textId="77777777" w:rsidR="00312FC6" w:rsidRPr="004C4F6D" w:rsidRDefault="003919DE" w:rsidP="004C4F6D">
            <w:pPr>
              <w:tabs>
                <w:tab w:val="left" w:pos="852"/>
              </w:tabs>
              <w:spacing w:after="0" w:line="240" w:lineRule="auto"/>
              <w:ind w:left="195" w:right="140"/>
              <w:jc w:val="center"/>
              <w:rPr>
                <w:rFonts w:ascii="Arial" w:eastAsia="Arial Narrow" w:hAnsi="Arial" w:cs="Arial"/>
                <w:b/>
                <w:sz w:val="16"/>
                <w:szCs w:val="16"/>
              </w:rPr>
            </w:pPr>
            <w:r w:rsidRPr="004C4F6D">
              <w:rPr>
                <w:rFonts w:ascii="Arial" w:eastAsia="Arial Narrow" w:hAnsi="Arial" w:cs="Arial"/>
                <w:b/>
                <w:sz w:val="16"/>
                <w:szCs w:val="16"/>
              </w:rPr>
              <w:t>Realized Gain/ Loss</w:t>
            </w:r>
          </w:p>
        </w:tc>
      </w:tr>
      <w:tr w:rsidR="00312FC6" w:rsidRPr="004C4F6D" w14:paraId="586C87CB" w14:textId="77777777">
        <w:trPr>
          <w:trHeight w:hRule="exact" w:val="321"/>
        </w:trPr>
        <w:tc>
          <w:tcPr>
            <w:tcW w:w="860" w:type="dxa"/>
            <w:tcBorders>
              <w:top w:val="single" w:sz="4" w:space="0" w:color="auto"/>
            </w:tcBorders>
          </w:tcPr>
          <w:p w14:paraId="3FCD215E" w14:textId="77777777" w:rsidR="00312FC6" w:rsidRPr="004C4F6D" w:rsidRDefault="00312FC6" w:rsidP="004C4F6D">
            <w:pPr>
              <w:spacing w:after="0" w:line="240" w:lineRule="auto"/>
              <w:ind w:left="-16"/>
              <w:jc w:val="center"/>
              <w:rPr>
                <w:rFonts w:ascii="Arial" w:eastAsia="Arial Narrow" w:hAnsi="Arial" w:cs="Arial"/>
                <w:sz w:val="16"/>
                <w:szCs w:val="16"/>
              </w:rPr>
            </w:pPr>
          </w:p>
        </w:tc>
        <w:tc>
          <w:tcPr>
            <w:tcW w:w="972" w:type="dxa"/>
            <w:tcBorders>
              <w:top w:val="single" w:sz="4" w:space="0" w:color="auto"/>
            </w:tcBorders>
          </w:tcPr>
          <w:p w14:paraId="3B85DBAE" w14:textId="77777777" w:rsidR="00312FC6" w:rsidRPr="004C4F6D" w:rsidRDefault="00312FC6" w:rsidP="004C4F6D">
            <w:pPr>
              <w:spacing w:after="0" w:line="240" w:lineRule="auto"/>
              <w:ind w:left="195" w:right="140"/>
              <w:jc w:val="both"/>
              <w:rPr>
                <w:rFonts w:ascii="Arial" w:eastAsia="Arial Narrow" w:hAnsi="Arial" w:cs="Arial"/>
                <w:sz w:val="16"/>
                <w:szCs w:val="16"/>
              </w:rPr>
            </w:pPr>
          </w:p>
        </w:tc>
        <w:tc>
          <w:tcPr>
            <w:tcW w:w="1323" w:type="dxa"/>
            <w:tcBorders>
              <w:top w:val="single" w:sz="4" w:space="0" w:color="auto"/>
            </w:tcBorders>
          </w:tcPr>
          <w:p w14:paraId="19497575" w14:textId="77777777" w:rsidR="00312FC6" w:rsidRPr="004C4F6D" w:rsidRDefault="00312FC6" w:rsidP="004C4F6D">
            <w:pPr>
              <w:spacing w:after="0" w:line="240" w:lineRule="auto"/>
              <w:ind w:left="195" w:right="140"/>
              <w:jc w:val="both"/>
              <w:rPr>
                <w:rFonts w:ascii="Arial" w:eastAsia="Arial Narrow" w:hAnsi="Arial" w:cs="Arial"/>
                <w:sz w:val="16"/>
                <w:szCs w:val="16"/>
              </w:rPr>
            </w:pPr>
          </w:p>
        </w:tc>
        <w:tc>
          <w:tcPr>
            <w:tcW w:w="1001" w:type="dxa"/>
            <w:tcBorders>
              <w:top w:val="single" w:sz="4" w:space="0" w:color="auto"/>
            </w:tcBorders>
          </w:tcPr>
          <w:p w14:paraId="322BDBC7" w14:textId="77777777" w:rsidR="00312FC6" w:rsidRPr="004C4F6D" w:rsidRDefault="00312FC6" w:rsidP="004C4F6D">
            <w:pPr>
              <w:spacing w:after="0" w:line="240" w:lineRule="auto"/>
              <w:ind w:left="195" w:right="140"/>
              <w:jc w:val="both"/>
              <w:rPr>
                <w:rFonts w:ascii="Arial" w:eastAsia="Arial Narrow" w:hAnsi="Arial" w:cs="Arial"/>
                <w:sz w:val="16"/>
                <w:szCs w:val="16"/>
              </w:rPr>
            </w:pPr>
          </w:p>
        </w:tc>
        <w:tc>
          <w:tcPr>
            <w:tcW w:w="717" w:type="dxa"/>
            <w:tcBorders>
              <w:top w:val="single" w:sz="4" w:space="0" w:color="auto"/>
            </w:tcBorders>
          </w:tcPr>
          <w:p w14:paraId="579B25B4" w14:textId="77777777" w:rsidR="00312FC6" w:rsidRPr="004C4F6D" w:rsidRDefault="00312FC6" w:rsidP="004C4F6D">
            <w:pPr>
              <w:spacing w:after="0" w:line="240" w:lineRule="auto"/>
              <w:ind w:left="195" w:right="140"/>
              <w:jc w:val="both"/>
              <w:rPr>
                <w:rFonts w:ascii="Arial" w:eastAsia="Arial Narrow" w:hAnsi="Arial" w:cs="Arial"/>
                <w:sz w:val="16"/>
                <w:szCs w:val="16"/>
              </w:rPr>
            </w:pPr>
          </w:p>
        </w:tc>
        <w:tc>
          <w:tcPr>
            <w:tcW w:w="1289" w:type="dxa"/>
            <w:tcBorders>
              <w:top w:val="single" w:sz="4" w:space="0" w:color="auto"/>
            </w:tcBorders>
          </w:tcPr>
          <w:p w14:paraId="76023E02" w14:textId="77777777" w:rsidR="00312FC6" w:rsidRPr="004C4F6D" w:rsidRDefault="00312FC6" w:rsidP="004C4F6D">
            <w:pPr>
              <w:spacing w:after="0" w:line="240" w:lineRule="auto"/>
              <w:ind w:left="195" w:right="140"/>
              <w:jc w:val="both"/>
              <w:rPr>
                <w:rFonts w:ascii="Arial" w:eastAsia="Arial Narrow" w:hAnsi="Arial" w:cs="Arial"/>
                <w:sz w:val="16"/>
                <w:szCs w:val="16"/>
              </w:rPr>
            </w:pPr>
          </w:p>
        </w:tc>
        <w:tc>
          <w:tcPr>
            <w:tcW w:w="1289" w:type="dxa"/>
            <w:tcBorders>
              <w:top w:val="single" w:sz="4" w:space="0" w:color="auto"/>
            </w:tcBorders>
          </w:tcPr>
          <w:p w14:paraId="4F11C7D7" w14:textId="77777777" w:rsidR="00312FC6" w:rsidRPr="004C4F6D" w:rsidRDefault="00312FC6" w:rsidP="004C4F6D">
            <w:pPr>
              <w:spacing w:after="0" w:line="240" w:lineRule="auto"/>
              <w:ind w:left="195" w:right="140"/>
              <w:jc w:val="both"/>
              <w:rPr>
                <w:rFonts w:ascii="Arial" w:eastAsia="Arial Narrow" w:hAnsi="Arial" w:cs="Arial"/>
                <w:sz w:val="16"/>
                <w:szCs w:val="16"/>
              </w:rPr>
            </w:pPr>
          </w:p>
        </w:tc>
        <w:tc>
          <w:tcPr>
            <w:tcW w:w="1146" w:type="dxa"/>
            <w:tcBorders>
              <w:top w:val="single" w:sz="4" w:space="0" w:color="auto"/>
            </w:tcBorders>
          </w:tcPr>
          <w:p w14:paraId="782C5958" w14:textId="77777777" w:rsidR="00312FC6" w:rsidRPr="004C4F6D" w:rsidRDefault="00312FC6" w:rsidP="004C4F6D">
            <w:pPr>
              <w:tabs>
                <w:tab w:val="left" w:pos="852"/>
              </w:tabs>
              <w:spacing w:after="0" w:line="240" w:lineRule="auto"/>
              <w:ind w:left="195" w:right="140"/>
              <w:jc w:val="both"/>
              <w:rPr>
                <w:rFonts w:ascii="Arial" w:eastAsia="Arial Narrow" w:hAnsi="Arial" w:cs="Arial"/>
                <w:sz w:val="16"/>
                <w:szCs w:val="16"/>
              </w:rPr>
            </w:pPr>
          </w:p>
        </w:tc>
      </w:tr>
      <w:tr w:rsidR="00312FC6" w:rsidRPr="004C4F6D" w14:paraId="47D83B65" w14:textId="77777777">
        <w:trPr>
          <w:trHeight w:hRule="exact" w:val="269"/>
        </w:trPr>
        <w:tc>
          <w:tcPr>
            <w:tcW w:w="860" w:type="dxa"/>
          </w:tcPr>
          <w:p w14:paraId="56A25647" w14:textId="77777777" w:rsidR="00312FC6" w:rsidRPr="004C4F6D" w:rsidRDefault="003919DE" w:rsidP="004C4F6D">
            <w:pPr>
              <w:spacing w:after="0" w:line="240" w:lineRule="auto"/>
              <w:ind w:left="-16"/>
              <w:jc w:val="center"/>
              <w:rPr>
                <w:rFonts w:ascii="Arial" w:eastAsia="Arial Narrow" w:hAnsi="Arial" w:cs="Arial"/>
                <w:sz w:val="16"/>
                <w:szCs w:val="16"/>
              </w:rPr>
            </w:pPr>
            <w:r w:rsidRPr="004C4F6D">
              <w:rPr>
                <w:rFonts w:ascii="Arial" w:eastAsia="Arial Narrow" w:hAnsi="Arial" w:cs="Arial"/>
                <w:sz w:val="16"/>
                <w:szCs w:val="16"/>
              </w:rPr>
              <w:t>151332</w:t>
            </w:r>
          </w:p>
        </w:tc>
        <w:tc>
          <w:tcPr>
            <w:tcW w:w="972" w:type="dxa"/>
          </w:tcPr>
          <w:p w14:paraId="2CD4D256" w14:textId="77777777" w:rsidR="00312FC6" w:rsidRPr="004C4F6D" w:rsidRDefault="003919DE" w:rsidP="004C4F6D">
            <w:pPr>
              <w:spacing w:after="0" w:line="240" w:lineRule="auto"/>
              <w:ind w:right="-114" w:hanging="110"/>
              <w:jc w:val="center"/>
              <w:rPr>
                <w:rFonts w:ascii="Arial" w:eastAsia="Arial Narrow" w:hAnsi="Arial" w:cs="Arial"/>
                <w:sz w:val="16"/>
                <w:szCs w:val="16"/>
              </w:rPr>
            </w:pPr>
            <w:r w:rsidRPr="004C4F6D">
              <w:rPr>
                <w:rFonts w:ascii="Arial" w:eastAsia="Arial Narrow" w:hAnsi="Arial" w:cs="Arial"/>
                <w:sz w:val="16"/>
                <w:szCs w:val="16"/>
              </w:rPr>
              <w:t>FXTN 03-24</w:t>
            </w:r>
          </w:p>
        </w:tc>
        <w:tc>
          <w:tcPr>
            <w:tcW w:w="1323" w:type="dxa"/>
          </w:tcPr>
          <w:p w14:paraId="7B960056" w14:textId="77777777" w:rsidR="00312FC6" w:rsidRPr="004C4F6D" w:rsidRDefault="003919DE" w:rsidP="004C4F6D">
            <w:pPr>
              <w:spacing w:after="0" w:line="240" w:lineRule="auto"/>
              <w:ind w:right="-36"/>
              <w:jc w:val="right"/>
              <w:rPr>
                <w:rFonts w:ascii="Arial" w:eastAsia="Arial Narrow" w:hAnsi="Arial" w:cs="Arial"/>
                <w:sz w:val="16"/>
                <w:szCs w:val="16"/>
              </w:rPr>
            </w:pPr>
            <w:r w:rsidRPr="004C4F6D">
              <w:rPr>
                <w:rFonts w:ascii="Arial" w:eastAsia="Arial Narrow" w:hAnsi="Arial" w:cs="Arial"/>
                <w:sz w:val="16"/>
                <w:szCs w:val="16"/>
              </w:rPr>
              <w:t>642,326,000</w:t>
            </w:r>
          </w:p>
        </w:tc>
        <w:tc>
          <w:tcPr>
            <w:tcW w:w="1001" w:type="dxa"/>
          </w:tcPr>
          <w:p w14:paraId="4497CDF1" w14:textId="77777777" w:rsidR="00312FC6" w:rsidRPr="004C4F6D" w:rsidRDefault="003919DE" w:rsidP="004C4F6D">
            <w:pPr>
              <w:tabs>
                <w:tab w:val="left" w:pos="454"/>
              </w:tabs>
              <w:spacing w:after="0" w:line="240" w:lineRule="auto"/>
              <w:jc w:val="right"/>
              <w:rPr>
                <w:rFonts w:ascii="Arial" w:eastAsia="Arial Narrow" w:hAnsi="Arial" w:cs="Arial"/>
                <w:sz w:val="16"/>
                <w:szCs w:val="16"/>
              </w:rPr>
            </w:pPr>
            <w:r w:rsidRPr="004C4F6D">
              <w:rPr>
                <w:rFonts w:ascii="Arial" w:eastAsia="Arial Narrow" w:hAnsi="Arial" w:cs="Arial"/>
                <w:sz w:val="16"/>
                <w:szCs w:val="16"/>
              </w:rPr>
              <w:t>12-Dec-21</w:t>
            </w:r>
          </w:p>
        </w:tc>
        <w:tc>
          <w:tcPr>
            <w:tcW w:w="717" w:type="dxa"/>
          </w:tcPr>
          <w:p w14:paraId="0EC46335" w14:textId="77777777" w:rsidR="00312FC6" w:rsidRPr="004C4F6D" w:rsidRDefault="003919DE" w:rsidP="004C4F6D">
            <w:pPr>
              <w:tabs>
                <w:tab w:val="left" w:pos="321"/>
                <w:tab w:val="left" w:pos="456"/>
              </w:tabs>
              <w:spacing w:after="0" w:line="240" w:lineRule="auto"/>
              <w:ind w:left="-111" w:firstLine="7"/>
              <w:jc w:val="right"/>
              <w:rPr>
                <w:rFonts w:ascii="Arial" w:eastAsia="Arial Narrow" w:hAnsi="Arial" w:cs="Arial"/>
                <w:sz w:val="16"/>
                <w:szCs w:val="16"/>
              </w:rPr>
            </w:pPr>
            <w:r w:rsidRPr="004C4F6D">
              <w:rPr>
                <w:rFonts w:ascii="Arial" w:eastAsia="Arial Narrow" w:hAnsi="Arial" w:cs="Arial"/>
                <w:sz w:val="16"/>
                <w:szCs w:val="16"/>
              </w:rPr>
              <w:t>3.74200</w:t>
            </w:r>
          </w:p>
        </w:tc>
        <w:tc>
          <w:tcPr>
            <w:tcW w:w="1289" w:type="dxa"/>
          </w:tcPr>
          <w:p w14:paraId="1F1E94C3" w14:textId="77777777" w:rsidR="00312FC6" w:rsidRPr="004C4F6D" w:rsidRDefault="003919DE" w:rsidP="004C4F6D">
            <w:pPr>
              <w:tabs>
                <w:tab w:val="left" w:pos="600"/>
              </w:tabs>
              <w:spacing w:after="0" w:line="240" w:lineRule="auto"/>
              <w:ind w:left="-102" w:right="-102"/>
              <w:jc w:val="right"/>
              <w:rPr>
                <w:rFonts w:ascii="Arial" w:eastAsia="Arial Narrow" w:hAnsi="Arial" w:cs="Arial"/>
                <w:sz w:val="16"/>
                <w:szCs w:val="16"/>
              </w:rPr>
            </w:pPr>
            <w:r w:rsidRPr="004C4F6D">
              <w:rPr>
                <w:rFonts w:ascii="Arial" w:eastAsia="Arial Narrow" w:hAnsi="Arial" w:cs="Arial"/>
                <w:sz w:val="16"/>
                <w:szCs w:val="16"/>
              </w:rPr>
              <w:t>643,660,115</w:t>
            </w:r>
          </w:p>
        </w:tc>
        <w:tc>
          <w:tcPr>
            <w:tcW w:w="1289" w:type="dxa"/>
          </w:tcPr>
          <w:p w14:paraId="733DD2A1" w14:textId="77777777" w:rsidR="00312FC6" w:rsidRPr="004C4F6D" w:rsidRDefault="003919DE" w:rsidP="004C4F6D">
            <w:pPr>
              <w:spacing w:after="0" w:line="240" w:lineRule="auto"/>
              <w:ind w:right="-111"/>
              <w:jc w:val="right"/>
              <w:rPr>
                <w:rFonts w:ascii="Arial" w:eastAsia="Arial Narrow" w:hAnsi="Arial" w:cs="Arial"/>
                <w:sz w:val="16"/>
                <w:szCs w:val="16"/>
              </w:rPr>
            </w:pPr>
            <w:r w:rsidRPr="004C4F6D">
              <w:rPr>
                <w:rFonts w:ascii="Arial" w:eastAsia="Arial Narrow" w:hAnsi="Arial" w:cs="Arial"/>
                <w:sz w:val="16"/>
                <w:szCs w:val="16"/>
              </w:rPr>
              <w:t>646,269,322</w:t>
            </w:r>
          </w:p>
        </w:tc>
        <w:tc>
          <w:tcPr>
            <w:tcW w:w="1146" w:type="dxa"/>
          </w:tcPr>
          <w:p w14:paraId="25C669DE" w14:textId="77777777" w:rsidR="00312FC6" w:rsidRPr="004C4F6D" w:rsidRDefault="003919DE" w:rsidP="004C4F6D">
            <w:pPr>
              <w:tabs>
                <w:tab w:val="left" w:pos="852"/>
              </w:tabs>
              <w:spacing w:after="0" w:line="240" w:lineRule="auto"/>
              <w:jc w:val="right"/>
              <w:rPr>
                <w:rFonts w:ascii="Arial" w:eastAsia="Arial Narrow" w:hAnsi="Arial" w:cs="Arial"/>
                <w:sz w:val="16"/>
                <w:szCs w:val="16"/>
              </w:rPr>
            </w:pPr>
            <w:r w:rsidRPr="004C4F6D">
              <w:rPr>
                <w:rFonts w:ascii="Arial" w:eastAsia="Arial Narrow" w:hAnsi="Arial" w:cs="Arial"/>
                <w:sz w:val="16"/>
                <w:szCs w:val="16"/>
              </w:rPr>
              <w:t>2,609,207</w:t>
            </w:r>
          </w:p>
        </w:tc>
      </w:tr>
      <w:tr w:rsidR="00312FC6" w:rsidRPr="004C4F6D" w14:paraId="632E3D5D" w14:textId="77777777">
        <w:trPr>
          <w:trHeight w:hRule="exact" w:val="287"/>
        </w:trPr>
        <w:tc>
          <w:tcPr>
            <w:tcW w:w="860" w:type="dxa"/>
          </w:tcPr>
          <w:p w14:paraId="4D6B720C" w14:textId="77777777" w:rsidR="00312FC6" w:rsidRPr="004C4F6D" w:rsidRDefault="003919DE" w:rsidP="004C4F6D">
            <w:pPr>
              <w:spacing w:after="0" w:line="240" w:lineRule="auto"/>
              <w:ind w:left="-16"/>
              <w:jc w:val="center"/>
              <w:rPr>
                <w:rFonts w:ascii="Arial" w:eastAsia="Arial Narrow" w:hAnsi="Arial" w:cs="Arial"/>
                <w:sz w:val="16"/>
                <w:szCs w:val="16"/>
              </w:rPr>
            </w:pPr>
            <w:r w:rsidRPr="004C4F6D">
              <w:rPr>
                <w:rFonts w:ascii="Arial" w:eastAsia="Arial Narrow" w:hAnsi="Arial" w:cs="Arial"/>
                <w:sz w:val="16"/>
                <w:szCs w:val="16"/>
              </w:rPr>
              <w:t>151307</w:t>
            </w:r>
          </w:p>
        </w:tc>
        <w:tc>
          <w:tcPr>
            <w:tcW w:w="972" w:type="dxa"/>
          </w:tcPr>
          <w:p w14:paraId="2E0326D4" w14:textId="77777777" w:rsidR="00312FC6" w:rsidRPr="004C4F6D" w:rsidRDefault="003919DE" w:rsidP="004C4F6D">
            <w:pPr>
              <w:spacing w:after="0" w:line="240" w:lineRule="auto"/>
              <w:ind w:right="-114" w:hanging="110"/>
              <w:jc w:val="center"/>
              <w:rPr>
                <w:rFonts w:ascii="Arial" w:eastAsia="Arial Narrow" w:hAnsi="Arial" w:cs="Arial"/>
                <w:sz w:val="16"/>
                <w:szCs w:val="16"/>
              </w:rPr>
            </w:pPr>
            <w:r w:rsidRPr="004C4F6D">
              <w:rPr>
                <w:rFonts w:ascii="Arial" w:eastAsia="Arial Narrow" w:hAnsi="Arial" w:cs="Arial"/>
                <w:sz w:val="16"/>
                <w:szCs w:val="16"/>
              </w:rPr>
              <w:t>FXTN 03-24</w:t>
            </w:r>
          </w:p>
        </w:tc>
        <w:tc>
          <w:tcPr>
            <w:tcW w:w="1323" w:type="dxa"/>
          </w:tcPr>
          <w:p w14:paraId="49F55F24" w14:textId="77777777" w:rsidR="00312FC6" w:rsidRPr="004C4F6D" w:rsidRDefault="003919DE" w:rsidP="004C4F6D">
            <w:pPr>
              <w:spacing w:after="0" w:line="240" w:lineRule="auto"/>
              <w:ind w:right="-36"/>
              <w:jc w:val="right"/>
              <w:rPr>
                <w:rFonts w:ascii="Arial" w:eastAsia="Arial Narrow" w:hAnsi="Arial" w:cs="Arial"/>
                <w:sz w:val="16"/>
                <w:szCs w:val="16"/>
              </w:rPr>
            </w:pPr>
            <w:r w:rsidRPr="004C4F6D">
              <w:rPr>
                <w:rFonts w:ascii="Arial" w:eastAsia="Arial Narrow" w:hAnsi="Arial" w:cs="Arial"/>
                <w:sz w:val="16"/>
                <w:szCs w:val="16"/>
              </w:rPr>
              <w:t>3,000,000,000</w:t>
            </w:r>
          </w:p>
        </w:tc>
        <w:tc>
          <w:tcPr>
            <w:tcW w:w="1001" w:type="dxa"/>
          </w:tcPr>
          <w:p w14:paraId="654FD6E5" w14:textId="77777777" w:rsidR="00312FC6" w:rsidRPr="004C4F6D" w:rsidRDefault="003919DE" w:rsidP="004C4F6D">
            <w:pPr>
              <w:tabs>
                <w:tab w:val="left" w:pos="454"/>
              </w:tabs>
              <w:spacing w:after="0" w:line="240" w:lineRule="auto"/>
              <w:jc w:val="right"/>
              <w:rPr>
                <w:rFonts w:ascii="Arial" w:eastAsia="Arial Narrow" w:hAnsi="Arial" w:cs="Arial"/>
                <w:sz w:val="16"/>
                <w:szCs w:val="16"/>
              </w:rPr>
            </w:pPr>
            <w:r w:rsidRPr="004C4F6D">
              <w:rPr>
                <w:rFonts w:ascii="Arial" w:eastAsia="Arial Narrow" w:hAnsi="Arial" w:cs="Arial"/>
                <w:sz w:val="16"/>
                <w:szCs w:val="16"/>
              </w:rPr>
              <w:t>12-Dec-21</w:t>
            </w:r>
          </w:p>
        </w:tc>
        <w:tc>
          <w:tcPr>
            <w:tcW w:w="717" w:type="dxa"/>
          </w:tcPr>
          <w:p w14:paraId="42F401D5" w14:textId="77777777" w:rsidR="00312FC6" w:rsidRPr="004C4F6D" w:rsidRDefault="003919DE" w:rsidP="004C4F6D">
            <w:pPr>
              <w:tabs>
                <w:tab w:val="left" w:pos="321"/>
                <w:tab w:val="left" w:pos="456"/>
              </w:tabs>
              <w:spacing w:after="0" w:line="240" w:lineRule="auto"/>
              <w:ind w:left="-111" w:firstLine="7"/>
              <w:jc w:val="right"/>
              <w:rPr>
                <w:rFonts w:ascii="Arial" w:eastAsia="Arial Narrow" w:hAnsi="Arial" w:cs="Arial"/>
                <w:sz w:val="16"/>
                <w:szCs w:val="16"/>
              </w:rPr>
            </w:pPr>
            <w:r w:rsidRPr="004C4F6D">
              <w:rPr>
                <w:rFonts w:ascii="Arial" w:eastAsia="Arial Narrow" w:hAnsi="Arial" w:cs="Arial"/>
                <w:sz w:val="16"/>
                <w:szCs w:val="16"/>
              </w:rPr>
              <w:t>3.75000</w:t>
            </w:r>
          </w:p>
        </w:tc>
        <w:tc>
          <w:tcPr>
            <w:tcW w:w="1289" w:type="dxa"/>
          </w:tcPr>
          <w:p w14:paraId="25F71EC6" w14:textId="77777777" w:rsidR="00312FC6" w:rsidRPr="004C4F6D" w:rsidRDefault="003919DE" w:rsidP="004C4F6D">
            <w:pPr>
              <w:tabs>
                <w:tab w:val="left" w:pos="600"/>
              </w:tabs>
              <w:spacing w:after="0" w:line="240" w:lineRule="auto"/>
              <w:ind w:left="-102" w:right="-102"/>
              <w:jc w:val="right"/>
              <w:rPr>
                <w:rFonts w:ascii="Arial" w:eastAsia="Arial Narrow" w:hAnsi="Arial" w:cs="Arial"/>
                <w:sz w:val="16"/>
                <w:szCs w:val="16"/>
              </w:rPr>
            </w:pPr>
            <w:r w:rsidRPr="004C4F6D">
              <w:rPr>
                <w:rFonts w:ascii="Arial" w:eastAsia="Arial Narrow" w:hAnsi="Arial" w:cs="Arial"/>
                <w:sz w:val="16"/>
                <w:szCs w:val="16"/>
              </w:rPr>
              <w:t>3,006,168,741</w:t>
            </w:r>
          </w:p>
        </w:tc>
        <w:tc>
          <w:tcPr>
            <w:tcW w:w="1289" w:type="dxa"/>
          </w:tcPr>
          <w:p w14:paraId="146455F8" w14:textId="77777777" w:rsidR="00312FC6" w:rsidRPr="004C4F6D" w:rsidRDefault="003919DE" w:rsidP="004C4F6D">
            <w:pPr>
              <w:spacing w:after="0" w:line="240" w:lineRule="auto"/>
              <w:ind w:right="-111"/>
              <w:jc w:val="right"/>
              <w:rPr>
                <w:rFonts w:ascii="Arial" w:eastAsia="Arial Narrow" w:hAnsi="Arial" w:cs="Arial"/>
                <w:sz w:val="16"/>
                <w:szCs w:val="16"/>
              </w:rPr>
            </w:pPr>
            <w:r w:rsidRPr="004C4F6D">
              <w:rPr>
                <w:rFonts w:ascii="Arial" w:eastAsia="Arial Narrow" w:hAnsi="Arial" w:cs="Arial"/>
                <w:sz w:val="16"/>
                <w:szCs w:val="16"/>
              </w:rPr>
              <w:t>3,018,417,384</w:t>
            </w:r>
          </w:p>
        </w:tc>
        <w:tc>
          <w:tcPr>
            <w:tcW w:w="1146" w:type="dxa"/>
          </w:tcPr>
          <w:p w14:paraId="6842BBDF" w14:textId="77777777" w:rsidR="00312FC6" w:rsidRPr="004C4F6D" w:rsidRDefault="003919DE" w:rsidP="004C4F6D">
            <w:pPr>
              <w:tabs>
                <w:tab w:val="left" w:pos="852"/>
              </w:tabs>
              <w:spacing w:after="0" w:line="240" w:lineRule="auto"/>
              <w:jc w:val="right"/>
              <w:rPr>
                <w:rFonts w:ascii="Arial" w:eastAsia="Arial Narrow" w:hAnsi="Arial" w:cs="Arial"/>
                <w:sz w:val="16"/>
                <w:szCs w:val="16"/>
              </w:rPr>
            </w:pPr>
            <w:r w:rsidRPr="004C4F6D">
              <w:rPr>
                <w:rFonts w:ascii="Arial" w:eastAsia="Arial Narrow" w:hAnsi="Arial" w:cs="Arial"/>
                <w:sz w:val="16"/>
                <w:szCs w:val="16"/>
              </w:rPr>
              <w:t>12,248,643</w:t>
            </w:r>
          </w:p>
        </w:tc>
      </w:tr>
      <w:tr w:rsidR="00312FC6" w:rsidRPr="004C4F6D" w14:paraId="4B66A0C6" w14:textId="77777777">
        <w:trPr>
          <w:trHeight w:hRule="exact" w:val="290"/>
        </w:trPr>
        <w:tc>
          <w:tcPr>
            <w:tcW w:w="860" w:type="dxa"/>
          </w:tcPr>
          <w:p w14:paraId="7FF51370" w14:textId="77777777" w:rsidR="00312FC6" w:rsidRPr="004C4F6D" w:rsidRDefault="003919DE" w:rsidP="004C4F6D">
            <w:pPr>
              <w:spacing w:after="0" w:line="240" w:lineRule="auto"/>
              <w:ind w:left="-16"/>
              <w:jc w:val="center"/>
              <w:rPr>
                <w:rFonts w:ascii="Arial" w:eastAsia="Arial Narrow" w:hAnsi="Arial" w:cs="Arial"/>
                <w:sz w:val="16"/>
                <w:szCs w:val="16"/>
              </w:rPr>
            </w:pPr>
            <w:r w:rsidRPr="004C4F6D">
              <w:rPr>
                <w:rFonts w:ascii="Arial" w:eastAsia="Arial Narrow" w:hAnsi="Arial" w:cs="Arial"/>
                <w:sz w:val="16"/>
                <w:szCs w:val="16"/>
              </w:rPr>
              <w:t>159584</w:t>
            </w:r>
          </w:p>
        </w:tc>
        <w:tc>
          <w:tcPr>
            <w:tcW w:w="972" w:type="dxa"/>
          </w:tcPr>
          <w:p w14:paraId="77F7BD26" w14:textId="77777777" w:rsidR="00312FC6" w:rsidRPr="004C4F6D" w:rsidRDefault="003919DE" w:rsidP="004C4F6D">
            <w:pPr>
              <w:spacing w:after="0" w:line="240" w:lineRule="auto"/>
              <w:ind w:right="-114" w:hanging="110"/>
              <w:jc w:val="center"/>
              <w:rPr>
                <w:rFonts w:ascii="Arial" w:eastAsia="Arial Narrow" w:hAnsi="Arial" w:cs="Arial"/>
                <w:sz w:val="16"/>
                <w:szCs w:val="16"/>
              </w:rPr>
            </w:pPr>
            <w:r w:rsidRPr="004C4F6D">
              <w:rPr>
                <w:rFonts w:ascii="Arial" w:eastAsia="Arial Narrow" w:hAnsi="Arial" w:cs="Arial"/>
                <w:sz w:val="16"/>
                <w:szCs w:val="16"/>
              </w:rPr>
              <w:t>FXTN 03-24</w:t>
            </w:r>
          </w:p>
        </w:tc>
        <w:tc>
          <w:tcPr>
            <w:tcW w:w="1323" w:type="dxa"/>
          </w:tcPr>
          <w:p w14:paraId="7620589B" w14:textId="77777777" w:rsidR="00312FC6" w:rsidRPr="004C4F6D" w:rsidRDefault="003919DE" w:rsidP="004C4F6D">
            <w:pPr>
              <w:spacing w:after="0" w:line="240" w:lineRule="auto"/>
              <w:ind w:right="-36"/>
              <w:jc w:val="right"/>
              <w:rPr>
                <w:rFonts w:ascii="Arial" w:eastAsia="Arial Narrow" w:hAnsi="Arial" w:cs="Arial"/>
                <w:sz w:val="16"/>
                <w:szCs w:val="16"/>
              </w:rPr>
            </w:pPr>
            <w:r w:rsidRPr="004C4F6D">
              <w:rPr>
                <w:rFonts w:ascii="Arial" w:eastAsia="Arial Narrow" w:hAnsi="Arial" w:cs="Arial"/>
                <w:sz w:val="16"/>
                <w:szCs w:val="16"/>
              </w:rPr>
              <w:t>150,000,000</w:t>
            </w:r>
          </w:p>
        </w:tc>
        <w:tc>
          <w:tcPr>
            <w:tcW w:w="1001" w:type="dxa"/>
          </w:tcPr>
          <w:p w14:paraId="51F4319C" w14:textId="77777777" w:rsidR="00312FC6" w:rsidRPr="004C4F6D" w:rsidRDefault="003919DE" w:rsidP="004C4F6D">
            <w:pPr>
              <w:tabs>
                <w:tab w:val="left" w:pos="454"/>
              </w:tabs>
              <w:spacing w:after="0" w:line="240" w:lineRule="auto"/>
              <w:jc w:val="right"/>
              <w:rPr>
                <w:rFonts w:ascii="Arial" w:eastAsia="Arial Narrow" w:hAnsi="Arial" w:cs="Arial"/>
                <w:sz w:val="16"/>
                <w:szCs w:val="16"/>
              </w:rPr>
            </w:pPr>
            <w:r w:rsidRPr="004C4F6D">
              <w:rPr>
                <w:rFonts w:ascii="Arial" w:eastAsia="Arial Narrow" w:hAnsi="Arial" w:cs="Arial"/>
                <w:sz w:val="16"/>
                <w:szCs w:val="16"/>
              </w:rPr>
              <w:t>02-Jan-22</w:t>
            </w:r>
          </w:p>
        </w:tc>
        <w:tc>
          <w:tcPr>
            <w:tcW w:w="717" w:type="dxa"/>
          </w:tcPr>
          <w:p w14:paraId="20201EE4" w14:textId="77777777" w:rsidR="00312FC6" w:rsidRPr="004C4F6D" w:rsidRDefault="003919DE" w:rsidP="004C4F6D">
            <w:pPr>
              <w:tabs>
                <w:tab w:val="left" w:pos="321"/>
                <w:tab w:val="left" w:pos="456"/>
              </w:tabs>
              <w:spacing w:after="0" w:line="240" w:lineRule="auto"/>
              <w:ind w:left="-111" w:firstLine="7"/>
              <w:jc w:val="right"/>
              <w:rPr>
                <w:rFonts w:ascii="Arial" w:eastAsia="Arial Narrow" w:hAnsi="Arial" w:cs="Arial"/>
                <w:sz w:val="16"/>
                <w:szCs w:val="16"/>
              </w:rPr>
            </w:pPr>
            <w:r w:rsidRPr="004C4F6D">
              <w:rPr>
                <w:rFonts w:ascii="Arial" w:eastAsia="Arial Narrow" w:hAnsi="Arial" w:cs="Arial"/>
                <w:sz w:val="16"/>
                <w:szCs w:val="16"/>
              </w:rPr>
              <w:t>3.76000</w:t>
            </w:r>
          </w:p>
        </w:tc>
        <w:tc>
          <w:tcPr>
            <w:tcW w:w="1289" w:type="dxa"/>
          </w:tcPr>
          <w:p w14:paraId="0B4DD5EA" w14:textId="77777777" w:rsidR="00312FC6" w:rsidRPr="004C4F6D" w:rsidRDefault="003919DE" w:rsidP="004C4F6D">
            <w:pPr>
              <w:tabs>
                <w:tab w:val="left" w:pos="600"/>
              </w:tabs>
              <w:spacing w:after="0" w:line="240" w:lineRule="auto"/>
              <w:ind w:left="-102" w:right="-102"/>
              <w:jc w:val="right"/>
              <w:rPr>
                <w:rFonts w:ascii="Arial" w:eastAsia="Arial Narrow" w:hAnsi="Arial" w:cs="Arial"/>
                <w:sz w:val="16"/>
                <w:szCs w:val="16"/>
              </w:rPr>
            </w:pPr>
            <w:r w:rsidRPr="004C4F6D">
              <w:rPr>
                <w:rFonts w:ascii="Arial" w:eastAsia="Arial Narrow" w:hAnsi="Arial" w:cs="Arial"/>
                <w:sz w:val="16"/>
                <w:szCs w:val="16"/>
              </w:rPr>
              <w:t>150,305,131</w:t>
            </w:r>
          </w:p>
        </w:tc>
        <w:tc>
          <w:tcPr>
            <w:tcW w:w="1289" w:type="dxa"/>
          </w:tcPr>
          <w:p w14:paraId="4414379E" w14:textId="77777777" w:rsidR="00312FC6" w:rsidRPr="004C4F6D" w:rsidRDefault="003919DE" w:rsidP="004C4F6D">
            <w:pPr>
              <w:spacing w:after="0" w:line="240" w:lineRule="auto"/>
              <w:ind w:right="-111"/>
              <w:jc w:val="right"/>
              <w:rPr>
                <w:rFonts w:ascii="Arial" w:eastAsia="Arial Narrow" w:hAnsi="Arial" w:cs="Arial"/>
                <w:sz w:val="16"/>
                <w:szCs w:val="16"/>
              </w:rPr>
            </w:pPr>
            <w:r w:rsidRPr="004C4F6D">
              <w:rPr>
                <w:rFonts w:ascii="Arial" w:eastAsia="Arial Narrow" w:hAnsi="Arial" w:cs="Arial"/>
                <w:sz w:val="16"/>
                <w:szCs w:val="16"/>
              </w:rPr>
              <w:t>150,920,869</w:t>
            </w:r>
          </w:p>
        </w:tc>
        <w:tc>
          <w:tcPr>
            <w:tcW w:w="1146" w:type="dxa"/>
          </w:tcPr>
          <w:p w14:paraId="56A6786C" w14:textId="77777777" w:rsidR="00312FC6" w:rsidRPr="004C4F6D" w:rsidRDefault="003919DE" w:rsidP="004C4F6D">
            <w:pPr>
              <w:tabs>
                <w:tab w:val="left" w:pos="852"/>
              </w:tabs>
              <w:spacing w:after="0" w:line="240" w:lineRule="auto"/>
              <w:jc w:val="right"/>
              <w:rPr>
                <w:rFonts w:ascii="Arial" w:eastAsia="Arial Narrow" w:hAnsi="Arial" w:cs="Arial"/>
                <w:sz w:val="16"/>
                <w:szCs w:val="16"/>
              </w:rPr>
            </w:pPr>
            <w:r w:rsidRPr="004C4F6D">
              <w:rPr>
                <w:rFonts w:ascii="Arial" w:eastAsia="Arial Narrow" w:hAnsi="Arial" w:cs="Arial"/>
                <w:sz w:val="16"/>
                <w:szCs w:val="16"/>
              </w:rPr>
              <w:t>615,738</w:t>
            </w:r>
          </w:p>
        </w:tc>
      </w:tr>
      <w:tr w:rsidR="00312FC6" w:rsidRPr="004C4F6D" w14:paraId="5480110D" w14:textId="77777777">
        <w:trPr>
          <w:trHeight w:hRule="exact" w:val="287"/>
        </w:trPr>
        <w:tc>
          <w:tcPr>
            <w:tcW w:w="860" w:type="dxa"/>
          </w:tcPr>
          <w:p w14:paraId="3B32A818" w14:textId="77777777" w:rsidR="00312FC6" w:rsidRPr="004C4F6D" w:rsidRDefault="003919DE" w:rsidP="004C4F6D">
            <w:pPr>
              <w:spacing w:after="0" w:line="240" w:lineRule="auto"/>
              <w:ind w:left="-16"/>
              <w:jc w:val="center"/>
              <w:rPr>
                <w:rFonts w:ascii="Arial" w:eastAsia="Arial Narrow" w:hAnsi="Arial" w:cs="Arial"/>
                <w:sz w:val="16"/>
                <w:szCs w:val="16"/>
              </w:rPr>
            </w:pPr>
            <w:r w:rsidRPr="004C4F6D">
              <w:rPr>
                <w:rFonts w:ascii="Arial" w:eastAsia="Arial Narrow" w:hAnsi="Arial" w:cs="Arial"/>
                <w:sz w:val="16"/>
                <w:szCs w:val="16"/>
              </w:rPr>
              <w:t>134065</w:t>
            </w:r>
          </w:p>
        </w:tc>
        <w:tc>
          <w:tcPr>
            <w:tcW w:w="972" w:type="dxa"/>
          </w:tcPr>
          <w:p w14:paraId="2167643B" w14:textId="77777777" w:rsidR="00312FC6" w:rsidRPr="004C4F6D" w:rsidRDefault="003919DE" w:rsidP="004C4F6D">
            <w:pPr>
              <w:spacing w:after="0" w:line="240" w:lineRule="auto"/>
              <w:ind w:right="-114" w:hanging="110"/>
              <w:jc w:val="center"/>
              <w:rPr>
                <w:rFonts w:ascii="Arial" w:eastAsia="Arial Narrow" w:hAnsi="Arial" w:cs="Arial"/>
                <w:sz w:val="16"/>
                <w:szCs w:val="16"/>
              </w:rPr>
            </w:pPr>
            <w:r w:rsidRPr="004C4F6D">
              <w:rPr>
                <w:rFonts w:ascii="Arial" w:eastAsia="Arial Narrow" w:hAnsi="Arial" w:cs="Arial"/>
                <w:sz w:val="16"/>
                <w:szCs w:val="16"/>
              </w:rPr>
              <w:t>FXTN 03-24</w:t>
            </w:r>
          </w:p>
        </w:tc>
        <w:tc>
          <w:tcPr>
            <w:tcW w:w="1323" w:type="dxa"/>
          </w:tcPr>
          <w:p w14:paraId="167CF82A" w14:textId="77777777" w:rsidR="00312FC6" w:rsidRPr="004C4F6D" w:rsidRDefault="003919DE" w:rsidP="004C4F6D">
            <w:pPr>
              <w:spacing w:after="0" w:line="240" w:lineRule="auto"/>
              <w:ind w:right="-36"/>
              <w:jc w:val="right"/>
              <w:rPr>
                <w:rFonts w:ascii="Arial" w:eastAsia="Arial Narrow" w:hAnsi="Arial" w:cs="Arial"/>
                <w:sz w:val="16"/>
                <w:szCs w:val="16"/>
              </w:rPr>
            </w:pPr>
            <w:r w:rsidRPr="004C4F6D">
              <w:rPr>
                <w:rFonts w:ascii="Arial" w:eastAsia="Arial Narrow" w:hAnsi="Arial" w:cs="Arial"/>
                <w:sz w:val="16"/>
                <w:szCs w:val="16"/>
              </w:rPr>
              <w:t>207,674,000</w:t>
            </w:r>
          </w:p>
        </w:tc>
        <w:tc>
          <w:tcPr>
            <w:tcW w:w="1001" w:type="dxa"/>
          </w:tcPr>
          <w:p w14:paraId="534916BC" w14:textId="77777777" w:rsidR="00312FC6" w:rsidRPr="004C4F6D" w:rsidRDefault="003919DE" w:rsidP="004C4F6D">
            <w:pPr>
              <w:tabs>
                <w:tab w:val="left" w:pos="454"/>
              </w:tabs>
              <w:spacing w:after="0" w:line="240" w:lineRule="auto"/>
              <w:jc w:val="right"/>
              <w:rPr>
                <w:rFonts w:ascii="Arial" w:eastAsia="Arial Narrow" w:hAnsi="Arial" w:cs="Arial"/>
                <w:sz w:val="16"/>
                <w:szCs w:val="16"/>
              </w:rPr>
            </w:pPr>
            <w:r w:rsidRPr="004C4F6D">
              <w:rPr>
                <w:rFonts w:ascii="Arial" w:eastAsia="Arial Narrow" w:hAnsi="Arial" w:cs="Arial"/>
                <w:sz w:val="16"/>
                <w:szCs w:val="16"/>
              </w:rPr>
              <w:t>02-Oct-21</w:t>
            </w:r>
          </w:p>
        </w:tc>
        <w:tc>
          <w:tcPr>
            <w:tcW w:w="717" w:type="dxa"/>
          </w:tcPr>
          <w:p w14:paraId="35F9FBF8" w14:textId="77777777" w:rsidR="00312FC6" w:rsidRPr="004C4F6D" w:rsidRDefault="003919DE" w:rsidP="004C4F6D">
            <w:pPr>
              <w:tabs>
                <w:tab w:val="left" w:pos="321"/>
                <w:tab w:val="left" w:pos="456"/>
              </w:tabs>
              <w:spacing w:after="0" w:line="240" w:lineRule="auto"/>
              <w:ind w:left="-111" w:firstLine="7"/>
              <w:jc w:val="right"/>
              <w:rPr>
                <w:rFonts w:ascii="Arial" w:eastAsia="Arial Narrow" w:hAnsi="Arial" w:cs="Arial"/>
                <w:sz w:val="16"/>
                <w:szCs w:val="16"/>
              </w:rPr>
            </w:pPr>
            <w:r w:rsidRPr="004C4F6D">
              <w:rPr>
                <w:rFonts w:ascii="Arial" w:eastAsia="Arial Narrow" w:hAnsi="Arial" w:cs="Arial"/>
                <w:sz w:val="16"/>
                <w:szCs w:val="16"/>
              </w:rPr>
              <w:t>3.98000</w:t>
            </w:r>
          </w:p>
        </w:tc>
        <w:tc>
          <w:tcPr>
            <w:tcW w:w="1289" w:type="dxa"/>
          </w:tcPr>
          <w:p w14:paraId="5244327B" w14:textId="77777777" w:rsidR="00312FC6" w:rsidRPr="004C4F6D" w:rsidRDefault="003919DE" w:rsidP="004C4F6D">
            <w:pPr>
              <w:tabs>
                <w:tab w:val="left" w:pos="600"/>
              </w:tabs>
              <w:spacing w:after="0" w:line="240" w:lineRule="auto"/>
              <w:ind w:left="-102" w:right="-102"/>
              <w:jc w:val="right"/>
              <w:rPr>
                <w:rFonts w:ascii="Arial" w:eastAsia="Arial Narrow" w:hAnsi="Arial" w:cs="Arial"/>
                <w:sz w:val="16"/>
                <w:szCs w:val="16"/>
              </w:rPr>
            </w:pPr>
            <w:r w:rsidRPr="004C4F6D">
              <w:rPr>
                <w:rFonts w:ascii="Arial" w:eastAsia="Arial Narrow" w:hAnsi="Arial" w:cs="Arial"/>
                <w:sz w:val="16"/>
                <w:szCs w:val="16"/>
              </w:rPr>
              <w:t>208,003,106</w:t>
            </w:r>
          </w:p>
        </w:tc>
        <w:tc>
          <w:tcPr>
            <w:tcW w:w="1289" w:type="dxa"/>
          </w:tcPr>
          <w:p w14:paraId="1D518D46" w14:textId="77777777" w:rsidR="00312FC6" w:rsidRPr="004C4F6D" w:rsidRDefault="003919DE" w:rsidP="004C4F6D">
            <w:pPr>
              <w:spacing w:after="0" w:line="240" w:lineRule="auto"/>
              <w:ind w:right="-111"/>
              <w:jc w:val="right"/>
              <w:rPr>
                <w:rFonts w:ascii="Arial" w:eastAsia="Arial Narrow" w:hAnsi="Arial" w:cs="Arial"/>
                <w:sz w:val="16"/>
                <w:szCs w:val="16"/>
              </w:rPr>
            </w:pPr>
            <w:r w:rsidRPr="004C4F6D">
              <w:rPr>
                <w:rFonts w:ascii="Arial" w:eastAsia="Arial Narrow" w:hAnsi="Arial" w:cs="Arial"/>
                <w:sz w:val="16"/>
                <w:szCs w:val="16"/>
              </w:rPr>
              <w:t>208,948,937</w:t>
            </w:r>
          </w:p>
        </w:tc>
        <w:tc>
          <w:tcPr>
            <w:tcW w:w="1146" w:type="dxa"/>
          </w:tcPr>
          <w:p w14:paraId="5CA5822E" w14:textId="77777777" w:rsidR="00312FC6" w:rsidRPr="004C4F6D" w:rsidRDefault="003919DE" w:rsidP="004C4F6D">
            <w:pPr>
              <w:tabs>
                <w:tab w:val="left" w:pos="852"/>
              </w:tabs>
              <w:spacing w:after="0" w:line="240" w:lineRule="auto"/>
              <w:jc w:val="right"/>
              <w:rPr>
                <w:rFonts w:ascii="Arial" w:eastAsia="Arial Narrow" w:hAnsi="Arial" w:cs="Arial"/>
                <w:sz w:val="16"/>
                <w:szCs w:val="16"/>
              </w:rPr>
            </w:pPr>
            <w:r w:rsidRPr="004C4F6D">
              <w:rPr>
                <w:rFonts w:ascii="Arial" w:eastAsia="Arial Narrow" w:hAnsi="Arial" w:cs="Arial"/>
                <w:sz w:val="16"/>
                <w:szCs w:val="16"/>
              </w:rPr>
              <w:t>945,831</w:t>
            </w:r>
          </w:p>
        </w:tc>
      </w:tr>
      <w:tr w:rsidR="00312FC6" w:rsidRPr="004C4F6D" w14:paraId="26EB94FE" w14:textId="77777777">
        <w:trPr>
          <w:trHeight w:hRule="exact" w:val="306"/>
        </w:trPr>
        <w:tc>
          <w:tcPr>
            <w:tcW w:w="1832" w:type="dxa"/>
            <w:gridSpan w:val="2"/>
            <w:tcBorders>
              <w:top w:val="single" w:sz="4" w:space="0" w:color="auto"/>
              <w:bottom w:val="double" w:sz="4" w:space="0" w:color="auto"/>
            </w:tcBorders>
            <w:vAlign w:val="center"/>
          </w:tcPr>
          <w:p w14:paraId="501B009B" w14:textId="77777777" w:rsidR="00312FC6" w:rsidRPr="004C4F6D" w:rsidRDefault="003919DE" w:rsidP="004C4F6D">
            <w:pPr>
              <w:spacing w:after="0" w:line="240" w:lineRule="auto"/>
              <w:ind w:left="195" w:right="140"/>
              <w:jc w:val="both"/>
              <w:rPr>
                <w:rFonts w:ascii="Arial" w:eastAsia="Arial Narrow" w:hAnsi="Arial" w:cs="Arial"/>
                <w:b/>
                <w:sz w:val="16"/>
                <w:szCs w:val="16"/>
              </w:rPr>
            </w:pPr>
            <w:r w:rsidRPr="004C4F6D">
              <w:rPr>
                <w:rFonts w:ascii="Arial" w:eastAsia="Arial Narrow" w:hAnsi="Arial" w:cs="Arial"/>
                <w:b/>
                <w:sz w:val="16"/>
                <w:szCs w:val="16"/>
              </w:rPr>
              <w:t>Total</w:t>
            </w:r>
          </w:p>
        </w:tc>
        <w:tc>
          <w:tcPr>
            <w:tcW w:w="1323" w:type="dxa"/>
            <w:tcBorders>
              <w:top w:val="single" w:sz="4" w:space="0" w:color="auto"/>
              <w:bottom w:val="double" w:sz="4" w:space="0" w:color="auto"/>
            </w:tcBorders>
            <w:vAlign w:val="center"/>
          </w:tcPr>
          <w:p w14:paraId="36F30ED4" w14:textId="77777777" w:rsidR="00312FC6" w:rsidRPr="004C4F6D" w:rsidRDefault="003919DE" w:rsidP="004C4F6D">
            <w:pPr>
              <w:tabs>
                <w:tab w:val="left" w:pos="378"/>
                <w:tab w:val="left" w:pos="520"/>
                <w:tab w:val="left" w:pos="661"/>
              </w:tabs>
              <w:spacing w:after="0" w:line="240" w:lineRule="auto"/>
              <w:jc w:val="right"/>
              <w:rPr>
                <w:rFonts w:ascii="Arial" w:eastAsia="Arial Narrow" w:hAnsi="Arial" w:cs="Arial"/>
                <w:b/>
                <w:sz w:val="16"/>
                <w:szCs w:val="16"/>
              </w:rPr>
            </w:pPr>
            <w:r w:rsidRPr="004C4F6D">
              <w:rPr>
                <w:rFonts w:ascii="Arial" w:eastAsia="Arial Narrow" w:hAnsi="Arial" w:cs="Arial"/>
                <w:b/>
                <w:sz w:val="16"/>
                <w:szCs w:val="16"/>
              </w:rPr>
              <w:t>4,000,000,000</w:t>
            </w:r>
          </w:p>
        </w:tc>
        <w:tc>
          <w:tcPr>
            <w:tcW w:w="1001" w:type="dxa"/>
            <w:tcBorders>
              <w:top w:val="single" w:sz="4" w:space="0" w:color="auto"/>
              <w:bottom w:val="double" w:sz="4" w:space="0" w:color="auto"/>
            </w:tcBorders>
            <w:vAlign w:val="center"/>
          </w:tcPr>
          <w:p w14:paraId="258CB0A9" w14:textId="77777777" w:rsidR="00312FC6" w:rsidRPr="004C4F6D" w:rsidRDefault="00312FC6" w:rsidP="004C4F6D">
            <w:pPr>
              <w:spacing w:after="0" w:line="240" w:lineRule="auto"/>
              <w:ind w:left="195" w:right="140"/>
              <w:jc w:val="both"/>
              <w:rPr>
                <w:rFonts w:ascii="Arial" w:eastAsia="Arial Narrow" w:hAnsi="Arial" w:cs="Arial"/>
                <w:b/>
                <w:sz w:val="16"/>
                <w:szCs w:val="16"/>
              </w:rPr>
            </w:pPr>
          </w:p>
        </w:tc>
        <w:tc>
          <w:tcPr>
            <w:tcW w:w="717" w:type="dxa"/>
            <w:tcBorders>
              <w:top w:val="single" w:sz="4" w:space="0" w:color="auto"/>
              <w:bottom w:val="double" w:sz="4" w:space="0" w:color="auto"/>
            </w:tcBorders>
            <w:vAlign w:val="center"/>
          </w:tcPr>
          <w:p w14:paraId="21620E7A" w14:textId="77777777" w:rsidR="00312FC6" w:rsidRPr="004C4F6D" w:rsidRDefault="00312FC6" w:rsidP="004C4F6D">
            <w:pPr>
              <w:spacing w:after="0" w:line="240" w:lineRule="auto"/>
              <w:ind w:left="195" w:right="140"/>
              <w:jc w:val="both"/>
              <w:rPr>
                <w:rFonts w:ascii="Arial" w:eastAsia="Arial Narrow" w:hAnsi="Arial" w:cs="Arial"/>
                <w:b/>
                <w:sz w:val="16"/>
                <w:szCs w:val="16"/>
              </w:rPr>
            </w:pPr>
          </w:p>
        </w:tc>
        <w:tc>
          <w:tcPr>
            <w:tcW w:w="1289" w:type="dxa"/>
            <w:tcBorders>
              <w:top w:val="single" w:sz="4" w:space="0" w:color="auto"/>
              <w:bottom w:val="double" w:sz="4" w:space="0" w:color="auto"/>
            </w:tcBorders>
            <w:vAlign w:val="center"/>
          </w:tcPr>
          <w:p w14:paraId="49D211F2" w14:textId="77777777" w:rsidR="00312FC6" w:rsidRPr="004C4F6D" w:rsidRDefault="003919DE" w:rsidP="004C4F6D">
            <w:pPr>
              <w:tabs>
                <w:tab w:val="left" w:pos="600"/>
              </w:tabs>
              <w:spacing w:after="0" w:line="240" w:lineRule="auto"/>
              <w:ind w:left="33" w:right="-111"/>
              <w:jc w:val="right"/>
              <w:rPr>
                <w:rFonts w:ascii="Arial" w:eastAsia="Arial Narrow" w:hAnsi="Arial" w:cs="Arial"/>
                <w:b/>
                <w:sz w:val="16"/>
                <w:szCs w:val="16"/>
              </w:rPr>
            </w:pPr>
            <w:r w:rsidRPr="004C4F6D">
              <w:rPr>
                <w:rFonts w:ascii="Arial" w:eastAsia="Arial Narrow" w:hAnsi="Arial" w:cs="Arial"/>
                <w:b/>
                <w:sz w:val="16"/>
                <w:szCs w:val="16"/>
              </w:rPr>
              <w:t>4,008,137,093</w:t>
            </w:r>
          </w:p>
        </w:tc>
        <w:tc>
          <w:tcPr>
            <w:tcW w:w="1289" w:type="dxa"/>
            <w:tcBorders>
              <w:top w:val="single" w:sz="4" w:space="0" w:color="auto"/>
              <w:bottom w:val="double" w:sz="4" w:space="0" w:color="auto"/>
            </w:tcBorders>
            <w:vAlign w:val="center"/>
          </w:tcPr>
          <w:p w14:paraId="1B075086" w14:textId="77777777" w:rsidR="00312FC6" w:rsidRPr="004C4F6D" w:rsidRDefault="003919DE" w:rsidP="004C4F6D">
            <w:pPr>
              <w:tabs>
                <w:tab w:val="left" w:pos="601"/>
                <w:tab w:val="left" w:pos="915"/>
              </w:tabs>
              <w:spacing w:after="0" w:line="240" w:lineRule="auto"/>
              <w:ind w:right="-111"/>
              <w:jc w:val="right"/>
              <w:rPr>
                <w:rFonts w:ascii="Arial" w:eastAsia="Arial Narrow" w:hAnsi="Arial" w:cs="Arial"/>
                <w:b/>
                <w:sz w:val="16"/>
                <w:szCs w:val="16"/>
              </w:rPr>
            </w:pPr>
            <w:r w:rsidRPr="004C4F6D">
              <w:rPr>
                <w:rFonts w:ascii="Arial" w:eastAsia="Arial Narrow" w:hAnsi="Arial" w:cs="Arial"/>
                <w:b/>
                <w:sz w:val="16"/>
                <w:szCs w:val="16"/>
              </w:rPr>
              <w:t>4,024,556,512</w:t>
            </w:r>
          </w:p>
        </w:tc>
        <w:tc>
          <w:tcPr>
            <w:tcW w:w="1146" w:type="dxa"/>
            <w:tcBorders>
              <w:top w:val="single" w:sz="4" w:space="0" w:color="auto"/>
              <w:bottom w:val="double" w:sz="4" w:space="0" w:color="auto"/>
            </w:tcBorders>
            <w:vAlign w:val="center"/>
          </w:tcPr>
          <w:p w14:paraId="02A8F5D5" w14:textId="77777777" w:rsidR="00312FC6" w:rsidRPr="004C4F6D" w:rsidRDefault="003919DE" w:rsidP="004C4F6D">
            <w:pPr>
              <w:tabs>
                <w:tab w:val="left" w:pos="852"/>
              </w:tabs>
              <w:spacing w:after="0" w:line="240" w:lineRule="auto"/>
              <w:ind w:right="2"/>
              <w:jc w:val="right"/>
              <w:rPr>
                <w:rFonts w:ascii="Arial" w:eastAsia="Arial Narrow" w:hAnsi="Arial" w:cs="Arial"/>
                <w:b/>
                <w:sz w:val="16"/>
                <w:szCs w:val="16"/>
              </w:rPr>
            </w:pPr>
            <w:r w:rsidRPr="004C4F6D">
              <w:rPr>
                <w:rFonts w:ascii="Arial" w:eastAsia="Arial Narrow" w:hAnsi="Arial" w:cs="Arial"/>
                <w:b/>
                <w:sz w:val="16"/>
                <w:szCs w:val="16"/>
              </w:rPr>
              <w:t>16,419,419</w:t>
            </w:r>
          </w:p>
        </w:tc>
      </w:tr>
    </w:tbl>
    <w:p w14:paraId="52474D51" w14:textId="77777777" w:rsidR="00003494" w:rsidRPr="004C4F6D" w:rsidRDefault="00003494" w:rsidP="004C4F6D">
      <w:pPr>
        <w:spacing w:after="0" w:line="240" w:lineRule="auto"/>
        <w:ind w:left="195" w:right="140"/>
        <w:jc w:val="both"/>
        <w:rPr>
          <w:rFonts w:ascii="Arial" w:eastAsia="Arial Narrow" w:hAnsi="Arial" w:cs="Arial"/>
          <w:sz w:val="16"/>
          <w:szCs w:val="16"/>
        </w:rPr>
      </w:pPr>
    </w:p>
    <w:p w14:paraId="6F5CDBAD" w14:textId="2C9459D7" w:rsidR="00312FC6" w:rsidRPr="004C4F6D" w:rsidRDefault="003919DE" w:rsidP="004C4F6D">
      <w:pPr>
        <w:spacing w:after="0" w:line="240" w:lineRule="auto"/>
        <w:ind w:left="195" w:right="140"/>
        <w:jc w:val="both"/>
        <w:rPr>
          <w:rFonts w:ascii="Arial" w:eastAsia="Arial Narrow" w:hAnsi="Arial" w:cs="Arial"/>
          <w:sz w:val="16"/>
          <w:szCs w:val="16"/>
        </w:rPr>
      </w:pPr>
      <w:r w:rsidRPr="004C4F6D">
        <w:rPr>
          <w:rFonts w:ascii="Arial" w:eastAsia="Arial Narrow" w:hAnsi="Arial" w:cs="Arial"/>
          <w:sz w:val="16"/>
          <w:szCs w:val="16"/>
        </w:rPr>
        <w:t>*Deal Number 134065 were partially sold to fully close-out the full volume of P4 Billion.</w:t>
      </w:r>
    </w:p>
    <w:p w14:paraId="58647DC6" w14:textId="77777777" w:rsidR="00312FC6" w:rsidRPr="004C4F6D" w:rsidRDefault="00312FC6" w:rsidP="004C4F6D">
      <w:pPr>
        <w:spacing w:after="0" w:line="240" w:lineRule="auto"/>
        <w:ind w:left="195" w:right="140"/>
        <w:jc w:val="both"/>
        <w:rPr>
          <w:rFonts w:ascii="Arial" w:eastAsia="Arial Narrow" w:hAnsi="Arial" w:cs="Arial"/>
        </w:rPr>
      </w:pPr>
    </w:p>
    <w:p w14:paraId="2239ED92" w14:textId="2D2132FF"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color w:val="000000"/>
        </w:rPr>
        <w:t>As shown above, the parameters being applied by LBP on allocating the carrying amount of financial assets to be derecognized, based on the approved trading plan or strategy, are the carrying amounts of each of the financial assets with specific deal numbers. Applying the requirements of PFRS 9 on the above illustrative example, the carrying amount t</w:t>
      </w:r>
      <w:r w:rsidR="00B773C2" w:rsidRPr="004C4F6D">
        <w:rPr>
          <w:rFonts w:ascii="Arial" w:eastAsia="Arial Narrow" w:hAnsi="Arial" w:cs="Arial"/>
          <w:color w:val="000000"/>
        </w:rPr>
        <w:t xml:space="preserve">o </w:t>
      </w:r>
      <w:r w:rsidRPr="004C4F6D">
        <w:rPr>
          <w:rFonts w:ascii="Arial" w:eastAsia="Arial Narrow" w:hAnsi="Arial" w:cs="Arial"/>
          <w:color w:val="000000"/>
        </w:rPr>
        <w:t>be derecognized should be a portion of the total carrying amount of P8.926 billion allocated on the basis of the total fair/market values of that were derecognized and continued to be recognized.  The carrying amount of the derecognized amounts should be P4,003,928,900, as presented below:</w:t>
      </w:r>
    </w:p>
    <w:p w14:paraId="1E3DAFCE" w14:textId="6CAEAA7C" w:rsidR="00003494" w:rsidRDefault="00003494" w:rsidP="004C4F6D">
      <w:pPr>
        <w:autoSpaceDE w:val="0"/>
        <w:autoSpaceDN w:val="0"/>
        <w:adjustRightInd w:val="0"/>
        <w:spacing w:after="0" w:line="240" w:lineRule="auto"/>
        <w:jc w:val="both"/>
        <w:rPr>
          <w:rFonts w:ascii="Arial" w:hAnsi="Arial" w:cs="Arial"/>
          <w:lang w:eastAsia="ar-SA"/>
        </w:rPr>
      </w:pPr>
    </w:p>
    <w:p w14:paraId="03CF44D2" w14:textId="0CF4563F" w:rsidR="0011533A" w:rsidRDefault="0011533A" w:rsidP="004C4F6D">
      <w:pPr>
        <w:autoSpaceDE w:val="0"/>
        <w:autoSpaceDN w:val="0"/>
        <w:adjustRightInd w:val="0"/>
        <w:spacing w:after="0" w:line="240" w:lineRule="auto"/>
        <w:jc w:val="both"/>
        <w:rPr>
          <w:rFonts w:ascii="Arial" w:hAnsi="Arial" w:cs="Arial"/>
          <w:lang w:eastAsia="ar-SA"/>
        </w:rPr>
      </w:pPr>
    </w:p>
    <w:p w14:paraId="149D5507" w14:textId="77777777" w:rsidR="0011533A" w:rsidRPr="004C4F6D" w:rsidRDefault="0011533A" w:rsidP="004C4F6D">
      <w:pPr>
        <w:autoSpaceDE w:val="0"/>
        <w:autoSpaceDN w:val="0"/>
        <w:adjustRightInd w:val="0"/>
        <w:spacing w:after="0" w:line="240" w:lineRule="auto"/>
        <w:jc w:val="both"/>
        <w:rPr>
          <w:rFonts w:ascii="Arial" w:hAnsi="Arial" w:cs="Arial"/>
          <w:lang w:eastAsia="ar-SA"/>
        </w:rPr>
      </w:pPr>
    </w:p>
    <w:tbl>
      <w:tblPr>
        <w:tblW w:w="8950" w:type="dxa"/>
        <w:tblInd w:w="-284" w:type="dxa"/>
        <w:tblLayout w:type="fixed"/>
        <w:tblLook w:val="04A0" w:firstRow="1" w:lastRow="0" w:firstColumn="1" w:lastColumn="0" w:noHBand="0" w:noVBand="1"/>
      </w:tblPr>
      <w:tblGrid>
        <w:gridCol w:w="1399"/>
        <w:gridCol w:w="424"/>
        <w:gridCol w:w="1953"/>
        <w:gridCol w:w="559"/>
        <w:gridCol w:w="2066"/>
        <w:gridCol w:w="415"/>
        <w:gridCol w:w="2134"/>
      </w:tblGrid>
      <w:tr w:rsidR="00312FC6" w:rsidRPr="004C4F6D" w14:paraId="3FA71B43" w14:textId="77777777" w:rsidTr="002F1504">
        <w:trPr>
          <w:cantSplit/>
          <w:trHeight w:val="342"/>
        </w:trPr>
        <w:tc>
          <w:tcPr>
            <w:tcW w:w="1399" w:type="dxa"/>
            <w:vMerge w:val="restart"/>
          </w:tcPr>
          <w:p w14:paraId="142CD84D" w14:textId="77777777" w:rsidR="00312FC6" w:rsidRPr="004C4F6D" w:rsidRDefault="003919DE" w:rsidP="004C4F6D">
            <w:pPr>
              <w:spacing w:after="0" w:line="240" w:lineRule="auto"/>
              <w:ind w:left="195" w:right="140"/>
              <w:jc w:val="both"/>
              <w:rPr>
                <w:rFonts w:ascii="Arial" w:eastAsia="Arial Narrow" w:hAnsi="Arial" w:cs="Arial"/>
                <w:color w:val="000000"/>
                <w:sz w:val="20"/>
                <w:szCs w:val="20"/>
              </w:rPr>
            </w:pPr>
            <w:r w:rsidRPr="004C4F6D">
              <w:rPr>
                <w:rFonts w:ascii="Arial" w:eastAsia="Arial Narrow" w:hAnsi="Arial" w:cs="Arial"/>
                <w:color w:val="000000"/>
                <w:sz w:val="20"/>
                <w:szCs w:val="20"/>
              </w:rPr>
              <w:lastRenderedPageBreak/>
              <w:t>Carrying amount</w:t>
            </w:r>
          </w:p>
        </w:tc>
        <w:tc>
          <w:tcPr>
            <w:tcW w:w="424" w:type="dxa"/>
            <w:vMerge w:val="restart"/>
          </w:tcPr>
          <w:p w14:paraId="1772CA35" w14:textId="77777777" w:rsidR="00312FC6" w:rsidRPr="004C4F6D" w:rsidRDefault="003919DE" w:rsidP="004C4F6D">
            <w:pPr>
              <w:spacing w:after="0" w:line="240" w:lineRule="auto"/>
              <w:ind w:left="195" w:right="140"/>
              <w:jc w:val="center"/>
              <w:rPr>
                <w:rFonts w:ascii="Arial" w:eastAsia="Arial Narrow" w:hAnsi="Arial" w:cs="Arial"/>
                <w:color w:val="000000"/>
                <w:sz w:val="20"/>
                <w:szCs w:val="20"/>
              </w:rPr>
            </w:pPr>
            <w:r w:rsidRPr="004C4F6D">
              <w:rPr>
                <w:rFonts w:ascii="Arial" w:eastAsia="Arial Narrow" w:hAnsi="Arial" w:cs="Arial"/>
                <w:color w:val="000000"/>
                <w:sz w:val="20"/>
                <w:szCs w:val="20"/>
              </w:rPr>
              <w:t>=</w:t>
            </w:r>
          </w:p>
        </w:tc>
        <w:tc>
          <w:tcPr>
            <w:tcW w:w="1953" w:type="dxa"/>
          </w:tcPr>
          <w:p w14:paraId="29C40AA1" w14:textId="77777777" w:rsidR="00312FC6" w:rsidRPr="004C4F6D" w:rsidRDefault="003919DE" w:rsidP="004C4F6D">
            <w:pPr>
              <w:spacing w:after="0" w:line="240" w:lineRule="auto"/>
              <w:ind w:left="195" w:right="140"/>
              <w:rPr>
                <w:rFonts w:ascii="Arial" w:eastAsia="Arial Narrow" w:hAnsi="Arial" w:cs="Arial"/>
                <w:color w:val="000000"/>
                <w:sz w:val="20"/>
                <w:szCs w:val="20"/>
              </w:rPr>
            </w:pPr>
            <w:r w:rsidRPr="004C4F6D">
              <w:rPr>
                <w:rFonts w:ascii="Arial" w:eastAsia="Arial Narrow" w:hAnsi="Arial" w:cs="Arial"/>
                <w:color w:val="000000"/>
                <w:sz w:val="20"/>
                <w:szCs w:val="20"/>
              </w:rPr>
              <w:t>4,024,556,512</w:t>
            </w:r>
          </w:p>
        </w:tc>
        <w:tc>
          <w:tcPr>
            <w:tcW w:w="559" w:type="dxa"/>
            <w:vMerge w:val="restart"/>
          </w:tcPr>
          <w:p w14:paraId="60D87EE1" w14:textId="77777777" w:rsidR="00312FC6" w:rsidRPr="004C4F6D" w:rsidRDefault="003919DE" w:rsidP="004C4F6D">
            <w:pPr>
              <w:spacing w:after="0" w:line="240" w:lineRule="auto"/>
              <w:ind w:left="195" w:right="140"/>
              <w:rPr>
                <w:rFonts w:ascii="Arial" w:eastAsia="Arial Narrow" w:hAnsi="Arial" w:cs="Arial"/>
                <w:color w:val="000000"/>
                <w:sz w:val="20"/>
                <w:szCs w:val="20"/>
              </w:rPr>
            </w:pPr>
            <w:r w:rsidRPr="004C4F6D">
              <w:rPr>
                <w:rFonts w:ascii="Arial" w:eastAsia="Arial Narrow" w:hAnsi="Arial" w:cs="Arial"/>
                <w:color w:val="000000"/>
                <w:sz w:val="20"/>
                <w:szCs w:val="20"/>
              </w:rPr>
              <w:t>X</w:t>
            </w:r>
          </w:p>
        </w:tc>
        <w:tc>
          <w:tcPr>
            <w:tcW w:w="2066" w:type="dxa"/>
            <w:vMerge w:val="restart"/>
          </w:tcPr>
          <w:p w14:paraId="6C886703" w14:textId="77777777" w:rsidR="00312FC6" w:rsidRPr="004C4F6D" w:rsidRDefault="003919DE" w:rsidP="004C4F6D">
            <w:pPr>
              <w:spacing w:after="0" w:line="240" w:lineRule="auto"/>
              <w:ind w:left="195" w:right="140"/>
              <w:rPr>
                <w:rFonts w:ascii="Arial" w:eastAsia="Arial Narrow" w:hAnsi="Arial" w:cs="Arial"/>
                <w:color w:val="000000"/>
                <w:sz w:val="20"/>
                <w:szCs w:val="20"/>
              </w:rPr>
            </w:pPr>
            <w:r w:rsidRPr="004C4F6D">
              <w:rPr>
                <w:rFonts w:ascii="Arial" w:eastAsia="Arial Narrow" w:hAnsi="Arial" w:cs="Arial"/>
                <w:color w:val="000000"/>
                <w:sz w:val="20"/>
                <w:szCs w:val="20"/>
              </w:rPr>
              <w:t>8,926,084,823</w:t>
            </w:r>
          </w:p>
        </w:tc>
        <w:tc>
          <w:tcPr>
            <w:tcW w:w="415" w:type="dxa"/>
          </w:tcPr>
          <w:p w14:paraId="47E4BFCC" w14:textId="77777777" w:rsidR="00312FC6" w:rsidRPr="004C4F6D" w:rsidRDefault="003919DE" w:rsidP="004C4F6D">
            <w:pPr>
              <w:spacing w:after="0" w:line="240" w:lineRule="auto"/>
              <w:ind w:left="195" w:right="140"/>
              <w:rPr>
                <w:rFonts w:ascii="Arial" w:eastAsia="Arial Narrow" w:hAnsi="Arial" w:cs="Arial"/>
                <w:color w:val="000000"/>
                <w:sz w:val="20"/>
                <w:szCs w:val="20"/>
              </w:rPr>
            </w:pPr>
            <w:r w:rsidRPr="004C4F6D">
              <w:rPr>
                <w:rFonts w:ascii="Arial" w:eastAsia="Arial Narrow" w:hAnsi="Arial" w:cs="Arial"/>
                <w:color w:val="000000"/>
                <w:sz w:val="20"/>
                <w:szCs w:val="20"/>
              </w:rPr>
              <w:t>=</w:t>
            </w:r>
          </w:p>
        </w:tc>
        <w:tc>
          <w:tcPr>
            <w:tcW w:w="2134" w:type="dxa"/>
          </w:tcPr>
          <w:p w14:paraId="2D9EC98E" w14:textId="77777777" w:rsidR="00312FC6" w:rsidRPr="004C4F6D" w:rsidRDefault="003919DE" w:rsidP="004C4F6D">
            <w:pPr>
              <w:spacing w:after="0" w:line="240" w:lineRule="auto"/>
              <w:ind w:left="195"/>
              <w:jc w:val="right"/>
              <w:rPr>
                <w:rFonts w:ascii="Arial" w:eastAsia="Arial Narrow" w:hAnsi="Arial" w:cs="Arial"/>
                <w:color w:val="000000"/>
                <w:sz w:val="20"/>
                <w:szCs w:val="20"/>
              </w:rPr>
            </w:pPr>
            <w:r w:rsidRPr="004C4F6D">
              <w:rPr>
                <w:rFonts w:ascii="Arial" w:eastAsia="Arial Narrow" w:hAnsi="Arial" w:cs="Arial"/>
                <w:color w:val="000000"/>
                <w:sz w:val="20"/>
                <w:szCs w:val="20"/>
              </w:rPr>
              <w:t>P4,003,928,900</w:t>
            </w:r>
          </w:p>
        </w:tc>
      </w:tr>
      <w:tr w:rsidR="00312FC6" w:rsidRPr="004C4F6D" w14:paraId="5F692719" w14:textId="77777777" w:rsidTr="002F1504">
        <w:trPr>
          <w:cantSplit/>
          <w:trHeight w:val="342"/>
        </w:trPr>
        <w:tc>
          <w:tcPr>
            <w:tcW w:w="1399" w:type="dxa"/>
            <w:vMerge/>
          </w:tcPr>
          <w:p w14:paraId="08CDA88B" w14:textId="77777777" w:rsidR="00312FC6" w:rsidRPr="004C4F6D" w:rsidRDefault="00312FC6" w:rsidP="004C4F6D">
            <w:pPr>
              <w:widowControl w:val="0"/>
              <w:spacing w:after="0" w:line="240" w:lineRule="auto"/>
              <w:ind w:left="195" w:right="140"/>
              <w:rPr>
                <w:rFonts w:ascii="Arial" w:eastAsia="Arial Narrow" w:hAnsi="Arial" w:cs="Arial"/>
                <w:color w:val="000000"/>
                <w:sz w:val="20"/>
                <w:szCs w:val="20"/>
              </w:rPr>
            </w:pPr>
          </w:p>
        </w:tc>
        <w:tc>
          <w:tcPr>
            <w:tcW w:w="424" w:type="dxa"/>
            <w:vMerge/>
          </w:tcPr>
          <w:p w14:paraId="54C78FBF" w14:textId="77777777" w:rsidR="00312FC6" w:rsidRPr="004C4F6D" w:rsidRDefault="00312FC6" w:rsidP="004C4F6D">
            <w:pPr>
              <w:widowControl w:val="0"/>
              <w:spacing w:after="0" w:line="240" w:lineRule="auto"/>
              <w:ind w:left="195" w:right="140"/>
              <w:rPr>
                <w:rFonts w:ascii="Arial" w:eastAsia="Arial Narrow" w:hAnsi="Arial" w:cs="Arial"/>
                <w:color w:val="000000"/>
                <w:sz w:val="20"/>
                <w:szCs w:val="20"/>
              </w:rPr>
            </w:pPr>
          </w:p>
        </w:tc>
        <w:tc>
          <w:tcPr>
            <w:tcW w:w="1953" w:type="dxa"/>
          </w:tcPr>
          <w:p w14:paraId="06E27585" w14:textId="77777777" w:rsidR="00312FC6" w:rsidRPr="004C4F6D" w:rsidRDefault="003919DE" w:rsidP="004C4F6D">
            <w:pPr>
              <w:spacing w:after="0" w:line="240" w:lineRule="auto"/>
              <w:ind w:left="195" w:right="140"/>
              <w:rPr>
                <w:rFonts w:ascii="Arial" w:eastAsia="Arial Narrow" w:hAnsi="Arial" w:cs="Arial"/>
                <w:color w:val="000000"/>
                <w:sz w:val="20"/>
                <w:szCs w:val="20"/>
              </w:rPr>
            </w:pPr>
            <w:r w:rsidRPr="004C4F6D">
              <w:rPr>
                <w:rFonts w:ascii="Arial" w:eastAsia="Arial Narrow" w:hAnsi="Arial" w:cs="Arial"/>
                <w:color w:val="000000"/>
                <w:sz w:val="20"/>
                <w:szCs w:val="20"/>
              </w:rPr>
              <w:t>8,972,070,607</w:t>
            </w:r>
          </w:p>
        </w:tc>
        <w:tc>
          <w:tcPr>
            <w:tcW w:w="559" w:type="dxa"/>
            <w:vMerge/>
          </w:tcPr>
          <w:p w14:paraId="38C32EB5" w14:textId="77777777" w:rsidR="00312FC6" w:rsidRPr="004C4F6D" w:rsidRDefault="00312FC6" w:rsidP="004C4F6D">
            <w:pPr>
              <w:widowControl w:val="0"/>
              <w:spacing w:after="0" w:line="240" w:lineRule="auto"/>
              <w:ind w:left="195" w:right="140"/>
              <w:rPr>
                <w:rFonts w:ascii="Arial" w:eastAsia="Arial Narrow" w:hAnsi="Arial" w:cs="Arial"/>
                <w:color w:val="000000"/>
                <w:sz w:val="20"/>
                <w:szCs w:val="20"/>
              </w:rPr>
            </w:pPr>
          </w:p>
        </w:tc>
        <w:tc>
          <w:tcPr>
            <w:tcW w:w="2066" w:type="dxa"/>
            <w:vMerge/>
          </w:tcPr>
          <w:p w14:paraId="32E3A2DB" w14:textId="77777777" w:rsidR="00312FC6" w:rsidRPr="004C4F6D" w:rsidRDefault="00312FC6" w:rsidP="004C4F6D">
            <w:pPr>
              <w:widowControl w:val="0"/>
              <w:spacing w:after="0" w:line="240" w:lineRule="auto"/>
              <w:ind w:left="195" w:right="140"/>
              <w:rPr>
                <w:rFonts w:ascii="Arial" w:eastAsia="Arial Narrow" w:hAnsi="Arial" w:cs="Arial"/>
                <w:color w:val="000000"/>
                <w:sz w:val="20"/>
                <w:szCs w:val="20"/>
              </w:rPr>
            </w:pPr>
          </w:p>
        </w:tc>
        <w:tc>
          <w:tcPr>
            <w:tcW w:w="415" w:type="dxa"/>
          </w:tcPr>
          <w:p w14:paraId="61EB81E0" w14:textId="77777777" w:rsidR="00312FC6" w:rsidRPr="004C4F6D" w:rsidRDefault="00312FC6" w:rsidP="004C4F6D">
            <w:pPr>
              <w:spacing w:after="0" w:line="240" w:lineRule="auto"/>
              <w:ind w:left="195" w:right="140"/>
              <w:rPr>
                <w:rFonts w:ascii="Arial" w:eastAsia="Arial Narrow" w:hAnsi="Arial" w:cs="Arial"/>
                <w:color w:val="000000"/>
                <w:sz w:val="20"/>
                <w:szCs w:val="20"/>
              </w:rPr>
            </w:pPr>
          </w:p>
        </w:tc>
        <w:tc>
          <w:tcPr>
            <w:tcW w:w="2134" w:type="dxa"/>
          </w:tcPr>
          <w:p w14:paraId="22E251CF" w14:textId="77777777" w:rsidR="00312FC6" w:rsidRPr="004C4F6D" w:rsidRDefault="00312FC6" w:rsidP="004C4F6D">
            <w:pPr>
              <w:spacing w:after="0" w:line="240" w:lineRule="auto"/>
              <w:ind w:left="195" w:right="140"/>
              <w:jc w:val="both"/>
              <w:rPr>
                <w:rFonts w:ascii="Arial" w:eastAsia="Arial Narrow" w:hAnsi="Arial" w:cs="Arial"/>
                <w:color w:val="000000"/>
                <w:sz w:val="20"/>
                <w:szCs w:val="20"/>
              </w:rPr>
            </w:pPr>
          </w:p>
        </w:tc>
      </w:tr>
    </w:tbl>
    <w:p w14:paraId="600DCD10" w14:textId="77777777" w:rsidR="00312FC6" w:rsidRPr="004C4F6D" w:rsidRDefault="00312FC6" w:rsidP="004C4F6D">
      <w:pPr>
        <w:pStyle w:val="ListParagraph"/>
        <w:spacing w:after="0" w:line="240" w:lineRule="auto"/>
        <w:ind w:left="0"/>
        <w:jc w:val="both"/>
        <w:rPr>
          <w:rFonts w:ascii="Arial" w:hAnsi="Arial" w:cs="Arial"/>
          <w:lang w:eastAsia="ar-SA"/>
        </w:rPr>
      </w:pPr>
    </w:p>
    <w:p w14:paraId="0C80B6A2"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rPr>
        <w:t>Following PFRS 9, using the illustrative example on derecognition of the P4 billion FXTN, Realized Gain should be P20,627,612 instead of P16,419,419, or an understatement of P4,208,193.</w:t>
      </w:r>
    </w:p>
    <w:p w14:paraId="40EB13D5" w14:textId="77777777" w:rsidR="00312FC6" w:rsidRPr="004C4F6D" w:rsidRDefault="00312FC6" w:rsidP="004C4F6D">
      <w:pPr>
        <w:pStyle w:val="ListParagraph"/>
        <w:spacing w:after="0" w:line="240" w:lineRule="auto"/>
        <w:ind w:left="0"/>
        <w:jc w:val="both"/>
        <w:rPr>
          <w:rFonts w:ascii="Arial" w:hAnsi="Arial" w:cs="Arial"/>
          <w:lang w:eastAsia="ar-SA"/>
        </w:rPr>
      </w:pPr>
    </w:p>
    <w:p w14:paraId="1564A7F3"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color w:val="000000"/>
        </w:rPr>
        <w:t xml:space="preserve">Derecognition of carrying amount based on Specific Identification or Match Deal Close-out Method, which we deem inconsistent with the requirement of PFRS 9, exposed the Bank to risk of misstatements in the corresponding recognition of Realized Gains/Losses and the Unrealized Gains/Losses accounts as at December 31, 2022. </w:t>
      </w:r>
    </w:p>
    <w:p w14:paraId="518BD963" w14:textId="77777777" w:rsidR="00312FC6" w:rsidRPr="004C4F6D" w:rsidRDefault="00312FC6" w:rsidP="004C4F6D">
      <w:pPr>
        <w:pStyle w:val="ListParagraph"/>
        <w:spacing w:after="0" w:line="240" w:lineRule="auto"/>
        <w:rPr>
          <w:rFonts w:ascii="Arial" w:hAnsi="Arial" w:cs="Arial"/>
          <w:lang w:eastAsia="ar-SA"/>
        </w:rPr>
      </w:pPr>
    </w:p>
    <w:p w14:paraId="7D1F8912"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color w:val="000000"/>
        </w:rPr>
        <w:t>We acknowledge Management’s assertion that its Treasury System that has been there for the longest time has been developed and enhanced to be in conformity with PFRS.  It is also recognized that Management mentioned that the only functionality embedded in the Integrated Treasury System of the Bank in the sale of financial assets is the specific identification or “matched deal close out” and need to be enhanced if the position on the requirements of PFRS 9 of the audit team is to be adopted.</w:t>
      </w:r>
    </w:p>
    <w:p w14:paraId="3DDA7D23" w14:textId="77777777" w:rsidR="00312FC6" w:rsidRPr="004C4F6D" w:rsidRDefault="00312FC6" w:rsidP="004C4F6D">
      <w:pPr>
        <w:pStyle w:val="ListParagraph"/>
        <w:spacing w:after="0" w:line="240" w:lineRule="auto"/>
        <w:rPr>
          <w:rFonts w:ascii="Arial" w:hAnsi="Arial" w:cs="Arial"/>
          <w:lang w:eastAsia="ar-SA"/>
        </w:rPr>
      </w:pPr>
    </w:p>
    <w:p w14:paraId="01FF7C76"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color w:val="000000"/>
        </w:rPr>
        <w:t>While we do not refute that the Bank needs to have flexibility in managing the financial assets i.e., profit-taking, liquidity or interest rate risk management, we presume that under the financial reporting framework, the PFRS, that it has adopted, its accounting for its transactions is in conformity with the standards under that framework.</w:t>
      </w:r>
      <w:r w:rsidRPr="004C4F6D">
        <w:rPr>
          <w:rFonts w:ascii="Arial" w:eastAsia="Arial Narrow" w:hAnsi="Arial" w:cs="Arial"/>
          <w:i/>
          <w:color w:val="000000"/>
        </w:rPr>
        <w:t xml:space="preserve"> </w:t>
      </w:r>
    </w:p>
    <w:p w14:paraId="41567F0D" w14:textId="77777777" w:rsidR="00312FC6" w:rsidRPr="004C4F6D" w:rsidRDefault="00312FC6" w:rsidP="004C4F6D">
      <w:pPr>
        <w:pStyle w:val="ListParagraph"/>
        <w:spacing w:after="0" w:line="240" w:lineRule="auto"/>
        <w:rPr>
          <w:rFonts w:ascii="Arial" w:hAnsi="Arial" w:cs="Arial"/>
          <w:lang w:eastAsia="ar-SA"/>
        </w:rPr>
      </w:pPr>
    </w:p>
    <w:p w14:paraId="2E54FACE" w14:textId="6DAE239F"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lang w:eastAsia="ar-SA"/>
        </w:rPr>
      </w:pPr>
      <w:r w:rsidRPr="004C4F6D">
        <w:rPr>
          <w:rFonts w:ascii="Arial" w:eastAsia="Arial Narrow" w:hAnsi="Arial" w:cs="Arial"/>
        </w:rPr>
        <w:t>On the basis of the assessment made in CY 2021 by the audit team of Management’s compliance with the CY 2020 audit recommendations as partially implemented due to the PFRS 9 requirements which were not met with regard to the accounting for the transfer/derecognition of asset, and with Management’s commitment to revisit and study the requirements of PFRS 9.</w:t>
      </w:r>
    </w:p>
    <w:p w14:paraId="0D267C98" w14:textId="77777777" w:rsidR="00312FC6" w:rsidRPr="004C4F6D" w:rsidRDefault="00312FC6" w:rsidP="004C4F6D">
      <w:pPr>
        <w:pStyle w:val="ListParagraph"/>
        <w:spacing w:after="0" w:line="240" w:lineRule="auto"/>
        <w:rPr>
          <w:rFonts w:ascii="Arial" w:hAnsi="Arial" w:cs="Arial"/>
          <w:lang w:eastAsia="ar-SA"/>
        </w:rPr>
      </w:pPr>
    </w:p>
    <w:p w14:paraId="188678D6"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b/>
          <w:lang w:eastAsia="ar-SA"/>
        </w:rPr>
      </w:pPr>
      <w:r w:rsidRPr="004C4F6D">
        <w:rPr>
          <w:rFonts w:ascii="Arial" w:hAnsi="Arial" w:cs="Arial"/>
          <w:b/>
          <w:lang w:eastAsia="ar-SA"/>
        </w:rPr>
        <w:t xml:space="preserve">We recommended that Management </w:t>
      </w:r>
      <w:r w:rsidRPr="004C4F6D">
        <w:rPr>
          <w:rFonts w:ascii="Arial" w:hAnsi="Arial" w:cs="Arial"/>
          <w:b/>
          <w:lang w:val="en-US" w:eastAsia="ar-SA"/>
        </w:rPr>
        <w:t>s</w:t>
      </w:r>
      <w:r w:rsidRPr="004C4F6D">
        <w:rPr>
          <w:rFonts w:ascii="Arial" w:hAnsi="Arial"/>
          <w:b/>
          <w:lang w:eastAsia="ar-SA"/>
        </w:rPr>
        <w:t>eek the opinion of experts such as the Philippine Interpretations Committee (PIC) with regard to the application by the Bank of paragraph 3.2.13 of PFRS 9 on the allocation of carrying amounts between the part to be derecognized and the part that continues to be recognized of a similar group of investment in debt securities classified as FVOCI and HTC, as basis for recording the effects of the transactions. Accordingly, on the basis of opinion obtained from the PIC and the evaluation thereof, make revisions on the accounting policy and guidelines, if necessary, and consider the enhancement of the Integrated Treasury System, to conform to the requirements of PFRS 9 as far as the accounting on the allocation of carrying amounts of the larger financial asset between the part to be derecognized and the part that continues to be recognized.</w:t>
      </w:r>
    </w:p>
    <w:p w14:paraId="79D66442" w14:textId="77777777" w:rsidR="00312FC6" w:rsidRPr="004C4F6D" w:rsidRDefault="00312FC6" w:rsidP="004C4F6D">
      <w:pPr>
        <w:pStyle w:val="ListParagraph"/>
        <w:spacing w:after="0" w:line="240" w:lineRule="auto"/>
        <w:rPr>
          <w:rFonts w:ascii="Arial" w:hAnsi="Arial" w:cs="Arial"/>
          <w:b/>
          <w:lang w:eastAsia="ar-SA"/>
        </w:rPr>
      </w:pPr>
    </w:p>
    <w:p w14:paraId="30D132DC" w14:textId="1AC43297" w:rsidR="00312FC6" w:rsidRPr="00894C04" w:rsidRDefault="003919DE" w:rsidP="004C4F6D">
      <w:pPr>
        <w:pStyle w:val="ListParagraph"/>
        <w:numPr>
          <w:ilvl w:val="1"/>
          <w:numId w:val="35"/>
        </w:numPr>
        <w:autoSpaceDE w:val="0"/>
        <w:autoSpaceDN w:val="0"/>
        <w:adjustRightInd w:val="0"/>
        <w:spacing w:after="0" w:line="240" w:lineRule="auto"/>
        <w:ind w:left="0" w:firstLine="0"/>
        <w:jc w:val="both"/>
        <w:rPr>
          <w:rFonts w:ascii="Arial" w:hAnsi="Arial" w:cs="Arial"/>
          <w:bCs/>
          <w:lang w:eastAsia="ar-SA"/>
        </w:rPr>
      </w:pPr>
      <w:r w:rsidRPr="004C4F6D">
        <w:rPr>
          <w:rFonts w:ascii="Arial" w:hAnsi="Arial"/>
          <w:bCs/>
          <w:lang w:val="en-US" w:eastAsia="ar-SA"/>
        </w:rPr>
        <w:t>T</w:t>
      </w:r>
      <w:r w:rsidRPr="004C4F6D">
        <w:rPr>
          <w:rFonts w:ascii="Arial" w:hAnsi="Arial"/>
          <w:bCs/>
          <w:lang w:eastAsia="ar-SA"/>
        </w:rPr>
        <w:t>he Bank has written the Philippine Interpretations Committee seeking the committee’s opinion if the Bank’s specific identification or matched deal-close out method of calculating book value and gain or loss on sale/derecognition of debt securities meets the accounting standards under PFRS 9.</w:t>
      </w:r>
      <w:r w:rsidR="00A57085" w:rsidRPr="004C4F6D">
        <w:rPr>
          <w:rFonts w:ascii="Arial" w:hAnsi="Arial"/>
          <w:bCs/>
          <w:lang w:eastAsia="ar-SA"/>
        </w:rPr>
        <w:t xml:space="preserve">  Response in writing by the PIC </w:t>
      </w:r>
      <w:r w:rsidR="00825E2B" w:rsidRPr="004C4F6D">
        <w:rPr>
          <w:rFonts w:ascii="Arial" w:hAnsi="Arial"/>
          <w:bCs/>
          <w:lang w:eastAsia="ar-SA"/>
        </w:rPr>
        <w:t xml:space="preserve">however, was not </w:t>
      </w:r>
      <w:r w:rsidR="00A57085" w:rsidRPr="004C4F6D">
        <w:rPr>
          <w:rFonts w:ascii="Arial" w:hAnsi="Arial"/>
          <w:bCs/>
          <w:lang w:eastAsia="ar-SA"/>
        </w:rPr>
        <w:t>obtained.</w:t>
      </w:r>
    </w:p>
    <w:p w14:paraId="4C9D22CD" w14:textId="77777777" w:rsidR="00894C04" w:rsidRPr="00894C04" w:rsidRDefault="00894C04" w:rsidP="00894C04">
      <w:pPr>
        <w:pStyle w:val="ListParagraph"/>
        <w:rPr>
          <w:rFonts w:ascii="Arial" w:hAnsi="Arial" w:cs="Arial"/>
          <w:bCs/>
          <w:lang w:eastAsia="ar-SA"/>
        </w:rPr>
      </w:pPr>
    </w:p>
    <w:p w14:paraId="73D59807" w14:textId="77777777" w:rsidR="00894C04" w:rsidRPr="00894C04" w:rsidRDefault="00894C04" w:rsidP="00894C04">
      <w:pPr>
        <w:autoSpaceDE w:val="0"/>
        <w:autoSpaceDN w:val="0"/>
        <w:adjustRightInd w:val="0"/>
        <w:spacing w:after="0" w:line="240" w:lineRule="auto"/>
        <w:jc w:val="both"/>
        <w:rPr>
          <w:rFonts w:ascii="Arial" w:hAnsi="Arial" w:cs="Arial"/>
          <w:bCs/>
          <w:lang w:eastAsia="ar-SA"/>
        </w:rPr>
      </w:pPr>
    </w:p>
    <w:p w14:paraId="0F1705CB" w14:textId="35EE6016" w:rsidR="00312FC6" w:rsidRPr="004C4F6D" w:rsidRDefault="003919DE" w:rsidP="004C4F6D">
      <w:pPr>
        <w:spacing w:after="0" w:line="240" w:lineRule="auto"/>
        <w:jc w:val="both"/>
        <w:rPr>
          <w:rFonts w:ascii="Arial" w:eastAsia="Times New Roman" w:hAnsi="Arial" w:cs="Arial"/>
          <w:b/>
          <w:lang w:val="en-US"/>
        </w:rPr>
      </w:pPr>
      <w:r w:rsidRPr="004C4F6D">
        <w:rPr>
          <w:rFonts w:ascii="Arial" w:eastAsia="Times New Roman" w:hAnsi="Arial" w:cs="Arial"/>
          <w:b/>
          <w:lang w:val="en-US"/>
        </w:rPr>
        <w:lastRenderedPageBreak/>
        <w:t>B.</w:t>
      </w:r>
      <w:r w:rsidRPr="004C4F6D">
        <w:rPr>
          <w:rFonts w:ascii="Arial" w:eastAsia="Times New Roman" w:hAnsi="Arial" w:cs="Arial"/>
          <w:b/>
          <w:lang w:val="en-US"/>
        </w:rPr>
        <w:tab/>
      </w:r>
      <w:r w:rsidR="001A1277" w:rsidRPr="004C4F6D">
        <w:rPr>
          <w:rFonts w:ascii="Arial" w:eastAsia="Times New Roman" w:hAnsi="Arial" w:cs="Arial"/>
          <w:b/>
          <w:lang w:val="en-US"/>
        </w:rPr>
        <w:t xml:space="preserve">NON-FINANCIAL </w:t>
      </w:r>
      <w:r w:rsidRPr="004C4F6D">
        <w:rPr>
          <w:rFonts w:ascii="Arial" w:eastAsia="Times New Roman" w:hAnsi="Arial" w:cs="Arial"/>
          <w:b/>
          <w:lang w:val="en-US"/>
        </w:rPr>
        <w:t>ISSUES</w:t>
      </w:r>
    </w:p>
    <w:p w14:paraId="43D137D4" w14:textId="77777777" w:rsidR="00312FC6" w:rsidRPr="004C4F6D" w:rsidRDefault="00312FC6" w:rsidP="004C4F6D">
      <w:pPr>
        <w:pStyle w:val="ListParagraph"/>
        <w:autoSpaceDE w:val="0"/>
        <w:autoSpaceDN w:val="0"/>
        <w:adjustRightInd w:val="0"/>
        <w:spacing w:after="0" w:line="240" w:lineRule="auto"/>
        <w:ind w:left="0"/>
        <w:jc w:val="both"/>
        <w:rPr>
          <w:rFonts w:ascii="Arial" w:hAnsi="Arial" w:cs="Arial"/>
        </w:rPr>
      </w:pPr>
    </w:p>
    <w:p w14:paraId="536136C4" w14:textId="0406BD38" w:rsidR="00FA0A7C" w:rsidRPr="004C4F6D" w:rsidRDefault="00825E2B" w:rsidP="004C4F6D">
      <w:pPr>
        <w:pStyle w:val="ListParagraph"/>
        <w:numPr>
          <w:ilvl w:val="0"/>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b/>
        </w:rPr>
        <w:t xml:space="preserve"> A</w:t>
      </w:r>
      <w:r w:rsidR="003919DE" w:rsidRPr="004C4F6D">
        <w:rPr>
          <w:rFonts w:ascii="Arial" w:eastAsia="Arial Narrow" w:hAnsi="Arial" w:cs="Arial"/>
          <w:b/>
        </w:rPr>
        <w:t>ppraisal</w:t>
      </w:r>
      <w:r w:rsidR="004900AF" w:rsidRPr="004C4F6D">
        <w:rPr>
          <w:rFonts w:ascii="Arial" w:eastAsia="Arial Narrow" w:hAnsi="Arial" w:cs="Arial"/>
          <w:b/>
          <w:color w:val="000000"/>
        </w:rPr>
        <w:t>s</w:t>
      </w:r>
      <w:r w:rsidR="003919DE" w:rsidRPr="004C4F6D">
        <w:rPr>
          <w:rFonts w:ascii="Arial" w:eastAsia="Arial Narrow" w:hAnsi="Arial" w:cs="Arial"/>
          <w:b/>
          <w:color w:val="000000"/>
        </w:rPr>
        <w:t xml:space="preserve"> o</w:t>
      </w:r>
      <w:r w:rsidRPr="004C4F6D">
        <w:rPr>
          <w:rFonts w:ascii="Arial" w:eastAsia="Arial Narrow" w:hAnsi="Arial" w:cs="Arial"/>
          <w:b/>
          <w:color w:val="000000"/>
        </w:rPr>
        <w:t>f</w:t>
      </w:r>
      <w:r w:rsidR="003919DE" w:rsidRPr="004C4F6D">
        <w:rPr>
          <w:rFonts w:ascii="Arial" w:eastAsia="Arial Narrow" w:hAnsi="Arial" w:cs="Arial"/>
          <w:b/>
          <w:color w:val="000000"/>
        </w:rPr>
        <w:t xml:space="preserve"> 4,283</w:t>
      </w:r>
      <w:r w:rsidRPr="004C4F6D">
        <w:rPr>
          <w:rFonts w:ascii="Arial" w:eastAsia="Arial Narrow" w:hAnsi="Arial" w:cs="Arial"/>
          <w:b/>
          <w:color w:val="000000"/>
        </w:rPr>
        <w:t xml:space="preserve"> units of</w:t>
      </w:r>
      <w:r w:rsidR="003919DE" w:rsidRPr="004C4F6D">
        <w:rPr>
          <w:rFonts w:ascii="Arial" w:eastAsia="Arial Narrow" w:hAnsi="Arial" w:cs="Arial"/>
          <w:b/>
          <w:color w:val="000000"/>
        </w:rPr>
        <w:t xml:space="preserve"> </w:t>
      </w:r>
      <w:r w:rsidR="004900AF" w:rsidRPr="004C4F6D">
        <w:rPr>
          <w:rFonts w:ascii="Arial" w:eastAsia="Arial Narrow" w:hAnsi="Arial" w:cs="Arial"/>
          <w:b/>
          <w:color w:val="000000"/>
        </w:rPr>
        <w:t xml:space="preserve">real and </w:t>
      </w:r>
      <w:r w:rsidR="003919DE" w:rsidRPr="004C4F6D">
        <w:rPr>
          <w:rFonts w:ascii="Arial" w:eastAsia="Arial Narrow" w:hAnsi="Arial" w:cs="Arial"/>
          <w:b/>
          <w:color w:val="000000"/>
        </w:rPr>
        <w:t>acquired properties</w:t>
      </w:r>
      <w:r w:rsidR="004900AF" w:rsidRPr="004C4F6D">
        <w:rPr>
          <w:rFonts w:ascii="Arial" w:eastAsia="Arial Narrow" w:hAnsi="Arial" w:cs="Arial"/>
          <w:b/>
          <w:color w:val="000000"/>
        </w:rPr>
        <w:t xml:space="preserve"> (ROPAs)</w:t>
      </w:r>
      <w:r w:rsidR="003919DE" w:rsidRPr="004C4F6D">
        <w:rPr>
          <w:rFonts w:ascii="Arial" w:eastAsia="Arial Narrow" w:hAnsi="Arial" w:cs="Arial"/>
          <w:b/>
          <w:color w:val="000000"/>
        </w:rPr>
        <w:t xml:space="preserve"> amounting to P2.828 billion as of December 31, 2022</w:t>
      </w:r>
      <w:r w:rsidRPr="004C4F6D">
        <w:rPr>
          <w:rFonts w:ascii="Arial" w:eastAsia="Arial Narrow" w:hAnsi="Arial" w:cs="Arial"/>
          <w:b/>
        </w:rPr>
        <w:t xml:space="preserve"> were not conducted from 2-34 years, contrary to </w:t>
      </w:r>
      <w:r w:rsidRPr="004C4F6D">
        <w:rPr>
          <w:rFonts w:ascii="Arial" w:eastAsia="Arial Narrow" w:hAnsi="Arial" w:cs="Arial"/>
          <w:b/>
          <w:color w:val="000000"/>
        </w:rPr>
        <w:t>Credit Policy Issuance (</w:t>
      </w:r>
      <w:r w:rsidRPr="004C4F6D">
        <w:rPr>
          <w:rFonts w:ascii="Arial" w:eastAsia="Arial Narrow" w:hAnsi="Arial" w:cs="Arial"/>
          <w:b/>
        </w:rPr>
        <w:t>CPI) No. 2013-008</w:t>
      </w:r>
      <w:r w:rsidRPr="004C4F6D">
        <w:rPr>
          <w:rFonts w:ascii="Arial" w:eastAsia="Arial Narrow" w:hAnsi="Arial" w:cs="Arial"/>
          <w:b/>
          <w:color w:val="000000"/>
        </w:rPr>
        <w:t>.</w:t>
      </w:r>
    </w:p>
    <w:p w14:paraId="55747239" w14:textId="77777777" w:rsidR="00312FC6" w:rsidRPr="004C4F6D" w:rsidRDefault="00312FC6" w:rsidP="004C4F6D">
      <w:pPr>
        <w:pStyle w:val="ListParagraph"/>
        <w:autoSpaceDE w:val="0"/>
        <w:autoSpaceDN w:val="0"/>
        <w:adjustRightInd w:val="0"/>
        <w:spacing w:after="0" w:line="240" w:lineRule="auto"/>
        <w:ind w:left="0"/>
        <w:jc w:val="both"/>
        <w:rPr>
          <w:rFonts w:ascii="Arial" w:eastAsia="Arial Narrow" w:hAnsi="Arial" w:cs="Arial"/>
          <w:color w:val="000000"/>
        </w:rPr>
      </w:pPr>
    </w:p>
    <w:p w14:paraId="40AC5C1F" w14:textId="2DF758DF"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hAnsi="Arial"/>
          <w:bCs/>
          <w:lang w:val="en-US" w:eastAsia="ar-SA"/>
        </w:rPr>
        <w:t>Credit</w:t>
      </w:r>
      <w:r w:rsidRPr="004C4F6D">
        <w:rPr>
          <w:rFonts w:ascii="Arial" w:eastAsia="Arial Narrow" w:hAnsi="Arial" w:cs="Arial"/>
          <w:color w:val="000000"/>
        </w:rPr>
        <w:t xml:space="preserve"> Policy Issuance (CPI) No. 2013-008 pertains to the revised guidelines on the timing and frequency of requests for re-appraisal of ROPA, and its Statement of Policy cites, among others, that</w:t>
      </w:r>
      <w:r w:rsidRPr="004C4F6D">
        <w:rPr>
          <w:rFonts w:ascii="Arial" w:eastAsia="Arial Narrow" w:hAnsi="Arial" w:cs="Arial"/>
          <w:i/>
          <w:color w:val="000000"/>
        </w:rPr>
        <w:t xml:space="preserve"> all ROPAs shall be appraised every two years.</w:t>
      </w:r>
    </w:p>
    <w:p w14:paraId="2F56EE66" w14:textId="77777777" w:rsidR="00312FC6" w:rsidRPr="004C4F6D" w:rsidRDefault="00312FC6" w:rsidP="004C4F6D">
      <w:pPr>
        <w:pStyle w:val="ListParagraph"/>
        <w:spacing w:after="0" w:line="240" w:lineRule="auto"/>
        <w:ind w:left="0" w:right="140"/>
        <w:jc w:val="both"/>
        <w:rPr>
          <w:rFonts w:ascii="Arial" w:eastAsia="Arial Narrow" w:hAnsi="Arial" w:cs="Arial"/>
          <w:color w:val="000000"/>
        </w:rPr>
      </w:pPr>
    </w:p>
    <w:p w14:paraId="3504906E" w14:textId="5B109795" w:rsidR="00312FC6" w:rsidRPr="004C4F6D" w:rsidRDefault="00E64155"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rPr>
        <w:t xml:space="preserve">Moreover, </w:t>
      </w:r>
      <w:r w:rsidR="003919DE" w:rsidRPr="004C4F6D">
        <w:rPr>
          <w:rFonts w:ascii="Arial" w:eastAsia="Arial Narrow" w:hAnsi="Arial" w:cs="Arial"/>
        </w:rPr>
        <w:t>LBP Executive Order No. 073, series of 2021 states that the appraisal report shall be valid up to two (2) years for the purpose of setting a new minimum bid price. Immediate reappraisal shall be conducted if there is a material decline in value of the asset.</w:t>
      </w:r>
    </w:p>
    <w:p w14:paraId="0B25897B" w14:textId="77777777" w:rsidR="00312FC6" w:rsidRPr="004C4F6D" w:rsidRDefault="00312FC6" w:rsidP="004C4F6D">
      <w:pPr>
        <w:pStyle w:val="ListParagraph"/>
        <w:spacing w:after="0" w:line="240" w:lineRule="auto"/>
        <w:rPr>
          <w:rFonts w:ascii="Arial" w:eastAsia="Arial Narrow" w:hAnsi="Arial" w:cs="Arial"/>
        </w:rPr>
      </w:pPr>
    </w:p>
    <w:p w14:paraId="3A17EC08" w14:textId="563669C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rPr>
        <w:t xml:space="preserve">On </w:t>
      </w:r>
      <w:r w:rsidR="00825E2B" w:rsidRPr="004C4F6D">
        <w:rPr>
          <w:rFonts w:ascii="Arial" w:eastAsia="Arial Narrow" w:hAnsi="Arial" w:cs="Arial"/>
        </w:rPr>
        <w:t>the other hand, Section 0402.6, Chapter 4 of the Special Assets Department (SPAD) Operations Manual provides that upon receipt of the appraisal report from the Property Valuation &amp; Credit Information Department (PVCID), the designated ROPA Manager System (MS) User will encode/update the appraisal details in the ROPA MS.</w:t>
      </w:r>
      <w:r w:rsidRPr="004C4F6D">
        <w:rPr>
          <w:rFonts w:ascii="Arial" w:eastAsia="Arial Narrow" w:hAnsi="Arial" w:cs="Arial"/>
        </w:rPr>
        <w:t xml:space="preserve"> </w:t>
      </w:r>
    </w:p>
    <w:p w14:paraId="42C6B929" w14:textId="77777777" w:rsidR="00312FC6" w:rsidRPr="004C4F6D" w:rsidRDefault="00312FC6" w:rsidP="004C4F6D">
      <w:pPr>
        <w:pStyle w:val="ListParagraph"/>
        <w:spacing w:after="0" w:line="240" w:lineRule="auto"/>
        <w:rPr>
          <w:rFonts w:ascii="Arial" w:eastAsia="Arial Narrow" w:hAnsi="Arial" w:cs="Arial"/>
        </w:rPr>
      </w:pPr>
    </w:p>
    <w:p w14:paraId="5CBA33F5"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rPr>
        <w:t>On March 31, 2022, Special Order (SO) No. 317 was approved to allow more efficient services transferring functions and reporting line/supervision of PVCID’s field team to Agrarian Operations Center (AOC). Since then, PVCID head office has forwarded all appraisal requests of properties located outside National Capital Regions (NCR) to AOC.</w:t>
      </w:r>
    </w:p>
    <w:p w14:paraId="6E682494" w14:textId="77777777" w:rsidR="00312FC6" w:rsidRPr="004C4F6D" w:rsidRDefault="00312FC6" w:rsidP="004C4F6D">
      <w:pPr>
        <w:pStyle w:val="ListParagraph"/>
        <w:spacing w:after="0" w:line="240" w:lineRule="auto"/>
        <w:rPr>
          <w:rFonts w:ascii="Arial" w:eastAsia="Arial Narrow" w:hAnsi="Arial" w:cs="Arial"/>
        </w:rPr>
      </w:pPr>
    </w:p>
    <w:p w14:paraId="2C503528"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rPr>
        <w:t>ROPA Manager System (ROPA MS) is a web-based application system that handles the administration, management, reporting, accounting and disposal of ROPA items. It is aimed to provide centralized data, electronic storage of information, and efficient monitoring of properties.  The application could generate timely and accurate reporting of management-required reports and faster response time to customer queries.  Details of inspection/appraisals are encoded into this system to update values of ROPA.</w:t>
      </w:r>
    </w:p>
    <w:p w14:paraId="1C140EE2" w14:textId="77777777" w:rsidR="00312FC6" w:rsidRPr="004C4F6D" w:rsidRDefault="00312FC6" w:rsidP="004C4F6D">
      <w:pPr>
        <w:pStyle w:val="ListParagraph"/>
        <w:spacing w:after="0" w:line="240" w:lineRule="auto"/>
        <w:rPr>
          <w:rFonts w:ascii="Arial" w:eastAsia="Arial Narrow" w:hAnsi="Arial" w:cs="Arial"/>
          <w:color w:val="000000"/>
        </w:rPr>
      </w:pPr>
    </w:p>
    <w:p w14:paraId="488BB54A" w14:textId="0084E465"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Review of the Masterlist of ROPA as at December 31, 2022 disclosed 7,206 properties with a total book value of P9,078,233,836.46. Of the 7,206 properties, 59</w:t>
      </w:r>
      <w:r w:rsidR="002F48F1" w:rsidRPr="004C4F6D">
        <w:rPr>
          <w:rFonts w:ascii="Arial" w:eastAsia="Arial Narrow" w:hAnsi="Arial" w:cs="Arial"/>
          <w:color w:val="000000"/>
        </w:rPr>
        <w:t xml:space="preserve"> per cent</w:t>
      </w:r>
      <w:r w:rsidRPr="004C4F6D">
        <w:rPr>
          <w:rFonts w:ascii="Arial" w:eastAsia="Arial Narrow" w:hAnsi="Arial" w:cs="Arial"/>
          <w:color w:val="000000"/>
        </w:rPr>
        <w:t xml:space="preserve"> or 4,283 properties amounting to P2,828,269,055.45 were not re-appraised every two years, contrary to (CPI) No. 2013-008, summarized as follows:</w:t>
      </w:r>
    </w:p>
    <w:p w14:paraId="32B6B2C6" w14:textId="77777777" w:rsidR="00312FC6" w:rsidRPr="004C4F6D" w:rsidRDefault="00312FC6" w:rsidP="004C4F6D">
      <w:pPr>
        <w:pStyle w:val="ListParagraph"/>
        <w:spacing w:after="0" w:line="240" w:lineRule="auto"/>
        <w:ind w:left="0"/>
        <w:jc w:val="both"/>
        <w:rPr>
          <w:rFonts w:ascii="Arial" w:eastAsia="Arial Narrow" w:hAnsi="Arial" w:cs="Arial"/>
          <w:color w:val="000000"/>
        </w:rPr>
      </w:pPr>
    </w:p>
    <w:tbl>
      <w:tblPr>
        <w:tblW w:w="8388" w:type="dxa"/>
        <w:tblInd w:w="259" w:type="dxa"/>
        <w:tblLayout w:type="fixed"/>
        <w:tblLook w:val="04A0" w:firstRow="1" w:lastRow="0" w:firstColumn="1" w:lastColumn="0" w:noHBand="0" w:noVBand="1"/>
      </w:tblPr>
      <w:tblGrid>
        <w:gridCol w:w="1039"/>
        <w:gridCol w:w="1645"/>
        <w:gridCol w:w="1701"/>
        <w:gridCol w:w="1701"/>
        <w:gridCol w:w="1134"/>
        <w:gridCol w:w="1168"/>
      </w:tblGrid>
      <w:tr w:rsidR="00312FC6" w:rsidRPr="004C4F6D" w14:paraId="0C50357A" w14:textId="77777777" w:rsidTr="002F1504">
        <w:trPr>
          <w:cantSplit/>
          <w:trHeight w:val="656"/>
          <w:tblHeader/>
        </w:trPr>
        <w:tc>
          <w:tcPr>
            <w:tcW w:w="1039" w:type="dxa"/>
            <w:vMerge w:val="restart"/>
            <w:tcBorders>
              <w:top w:val="single" w:sz="8" w:space="0" w:color="000000"/>
              <w:left w:val="nil"/>
              <w:bottom w:val="single" w:sz="8" w:space="0" w:color="000000"/>
              <w:right w:val="nil"/>
            </w:tcBorders>
            <w:vAlign w:val="center"/>
          </w:tcPr>
          <w:p w14:paraId="25F51612"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No. of accounts</w:t>
            </w:r>
          </w:p>
        </w:tc>
        <w:tc>
          <w:tcPr>
            <w:tcW w:w="3346" w:type="dxa"/>
            <w:gridSpan w:val="2"/>
            <w:tcBorders>
              <w:top w:val="single" w:sz="8" w:space="0" w:color="000000"/>
              <w:left w:val="nil"/>
              <w:bottom w:val="single" w:sz="8" w:space="0" w:color="000000"/>
              <w:right w:val="nil"/>
            </w:tcBorders>
            <w:vAlign w:val="center"/>
          </w:tcPr>
          <w:p w14:paraId="465C7699"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Book Value</w:t>
            </w:r>
          </w:p>
        </w:tc>
        <w:tc>
          <w:tcPr>
            <w:tcW w:w="1701" w:type="dxa"/>
            <w:vMerge w:val="restart"/>
            <w:tcBorders>
              <w:top w:val="single" w:sz="8" w:space="0" w:color="000000"/>
              <w:left w:val="nil"/>
              <w:bottom w:val="single" w:sz="8" w:space="0" w:color="000000"/>
              <w:right w:val="nil"/>
            </w:tcBorders>
            <w:vAlign w:val="center"/>
          </w:tcPr>
          <w:p w14:paraId="643E9F0D"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Total Book Value</w:t>
            </w:r>
          </w:p>
        </w:tc>
        <w:tc>
          <w:tcPr>
            <w:tcW w:w="1134" w:type="dxa"/>
            <w:vMerge w:val="restart"/>
            <w:tcBorders>
              <w:top w:val="single" w:sz="8" w:space="0" w:color="000000"/>
              <w:left w:val="nil"/>
              <w:bottom w:val="single" w:sz="8" w:space="0" w:color="000000"/>
              <w:right w:val="nil"/>
            </w:tcBorders>
            <w:vAlign w:val="center"/>
          </w:tcPr>
          <w:p w14:paraId="51689CE6"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Latest Appraisal Date</w:t>
            </w:r>
          </w:p>
        </w:tc>
        <w:tc>
          <w:tcPr>
            <w:tcW w:w="1168" w:type="dxa"/>
            <w:vMerge w:val="restart"/>
            <w:tcBorders>
              <w:top w:val="single" w:sz="8" w:space="0" w:color="000000"/>
              <w:left w:val="nil"/>
              <w:bottom w:val="single" w:sz="8" w:space="0" w:color="000000"/>
              <w:right w:val="nil"/>
            </w:tcBorders>
            <w:vAlign w:val="center"/>
          </w:tcPr>
          <w:p w14:paraId="355801F7"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 xml:space="preserve">No. of years from last appraisal </w:t>
            </w:r>
          </w:p>
        </w:tc>
      </w:tr>
      <w:tr w:rsidR="00312FC6" w:rsidRPr="004C4F6D" w14:paraId="51A48BF2" w14:textId="77777777" w:rsidTr="002F1504">
        <w:trPr>
          <w:cantSplit/>
          <w:trHeight w:val="294"/>
          <w:tblHeader/>
        </w:trPr>
        <w:tc>
          <w:tcPr>
            <w:tcW w:w="1039" w:type="dxa"/>
            <w:vMerge/>
            <w:tcBorders>
              <w:top w:val="single" w:sz="8" w:space="0" w:color="000000"/>
              <w:left w:val="nil"/>
              <w:bottom w:val="single" w:sz="8" w:space="0" w:color="000000"/>
              <w:right w:val="nil"/>
            </w:tcBorders>
            <w:vAlign w:val="center"/>
          </w:tcPr>
          <w:p w14:paraId="7C204D80" w14:textId="77777777" w:rsidR="00312FC6" w:rsidRPr="004C4F6D" w:rsidRDefault="00312FC6" w:rsidP="004C4F6D">
            <w:pPr>
              <w:widowControl w:val="0"/>
              <w:spacing w:after="0" w:line="240" w:lineRule="auto"/>
              <w:ind w:left="195" w:right="140"/>
              <w:rPr>
                <w:rFonts w:ascii="Arial" w:eastAsia="Arial Narrow" w:hAnsi="Arial" w:cs="Arial"/>
                <w:color w:val="000000"/>
                <w:sz w:val="14"/>
                <w:szCs w:val="14"/>
                <w:lang w:eastAsia="en-PH"/>
              </w:rPr>
            </w:pPr>
          </w:p>
        </w:tc>
        <w:tc>
          <w:tcPr>
            <w:tcW w:w="1645" w:type="dxa"/>
            <w:tcBorders>
              <w:top w:val="nil"/>
              <w:left w:val="nil"/>
              <w:bottom w:val="single" w:sz="8" w:space="0" w:color="000000"/>
              <w:right w:val="nil"/>
            </w:tcBorders>
            <w:vAlign w:val="center"/>
          </w:tcPr>
          <w:p w14:paraId="7E4A32F0"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REAL</w:t>
            </w:r>
          </w:p>
        </w:tc>
        <w:tc>
          <w:tcPr>
            <w:tcW w:w="1701" w:type="dxa"/>
            <w:tcBorders>
              <w:top w:val="nil"/>
              <w:left w:val="nil"/>
              <w:bottom w:val="single" w:sz="8" w:space="0" w:color="000000"/>
              <w:right w:val="nil"/>
            </w:tcBorders>
            <w:vAlign w:val="center"/>
          </w:tcPr>
          <w:p w14:paraId="7F9122BC"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CHATTEL</w:t>
            </w:r>
          </w:p>
        </w:tc>
        <w:tc>
          <w:tcPr>
            <w:tcW w:w="1701" w:type="dxa"/>
            <w:vMerge/>
            <w:tcBorders>
              <w:top w:val="single" w:sz="8" w:space="0" w:color="000000"/>
              <w:left w:val="nil"/>
              <w:bottom w:val="single" w:sz="8" w:space="0" w:color="000000"/>
              <w:right w:val="nil"/>
            </w:tcBorders>
            <w:vAlign w:val="center"/>
          </w:tcPr>
          <w:p w14:paraId="7DEE88BE" w14:textId="77777777" w:rsidR="00312FC6" w:rsidRPr="004C4F6D" w:rsidRDefault="00312FC6" w:rsidP="004C4F6D">
            <w:pPr>
              <w:widowControl w:val="0"/>
              <w:spacing w:after="0" w:line="240" w:lineRule="auto"/>
              <w:ind w:left="195" w:right="140"/>
              <w:rPr>
                <w:rFonts w:ascii="Arial" w:eastAsia="Arial Narrow" w:hAnsi="Arial" w:cs="Arial"/>
                <w:color w:val="000000"/>
                <w:sz w:val="14"/>
                <w:szCs w:val="14"/>
                <w:lang w:eastAsia="en-PH"/>
              </w:rPr>
            </w:pPr>
          </w:p>
        </w:tc>
        <w:tc>
          <w:tcPr>
            <w:tcW w:w="1134" w:type="dxa"/>
            <w:vMerge/>
            <w:tcBorders>
              <w:top w:val="single" w:sz="8" w:space="0" w:color="000000"/>
              <w:left w:val="nil"/>
              <w:bottom w:val="single" w:sz="8" w:space="0" w:color="000000"/>
              <w:right w:val="nil"/>
            </w:tcBorders>
            <w:vAlign w:val="center"/>
          </w:tcPr>
          <w:p w14:paraId="4300EA5E" w14:textId="77777777" w:rsidR="00312FC6" w:rsidRPr="004C4F6D" w:rsidRDefault="00312FC6" w:rsidP="004C4F6D">
            <w:pPr>
              <w:widowControl w:val="0"/>
              <w:spacing w:after="0" w:line="240" w:lineRule="auto"/>
              <w:ind w:left="195" w:right="140"/>
              <w:rPr>
                <w:rFonts w:ascii="Arial" w:eastAsia="Arial Narrow" w:hAnsi="Arial" w:cs="Arial"/>
                <w:color w:val="000000"/>
                <w:sz w:val="14"/>
                <w:szCs w:val="14"/>
                <w:lang w:eastAsia="en-PH"/>
              </w:rPr>
            </w:pPr>
          </w:p>
        </w:tc>
        <w:tc>
          <w:tcPr>
            <w:tcW w:w="1168" w:type="dxa"/>
            <w:vMerge/>
            <w:tcBorders>
              <w:top w:val="single" w:sz="8" w:space="0" w:color="000000"/>
              <w:left w:val="nil"/>
              <w:bottom w:val="single" w:sz="8" w:space="0" w:color="000000"/>
              <w:right w:val="nil"/>
            </w:tcBorders>
            <w:vAlign w:val="center"/>
          </w:tcPr>
          <w:p w14:paraId="152BF00B" w14:textId="77777777" w:rsidR="00312FC6" w:rsidRPr="004C4F6D" w:rsidRDefault="00312FC6" w:rsidP="004C4F6D">
            <w:pPr>
              <w:widowControl w:val="0"/>
              <w:spacing w:after="0" w:line="240" w:lineRule="auto"/>
              <w:ind w:left="195" w:right="140"/>
              <w:rPr>
                <w:rFonts w:ascii="Arial" w:eastAsia="Arial Narrow" w:hAnsi="Arial" w:cs="Arial"/>
                <w:color w:val="000000"/>
                <w:sz w:val="14"/>
                <w:szCs w:val="14"/>
                <w:lang w:eastAsia="en-PH"/>
              </w:rPr>
            </w:pPr>
          </w:p>
        </w:tc>
      </w:tr>
      <w:tr w:rsidR="00312FC6" w:rsidRPr="004C4F6D" w14:paraId="1D6115CC" w14:textId="77777777" w:rsidTr="002F1504">
        <w:trPr>
          <w:trHeight w:val="294"/>
        </w:trPr>
        <w:tc>
          <w:tcPr>
            <w:tcW w:w="1039" w:type="dxa"/>
            <w:tcBorders>
              <w:top w:val="nil"/>
              <w:left w:val="nil"/>
              <w:bottom w:val="nil"/>
              <w:right w:val="nil"/>
            </w:tcBorders>
            <w:vAlign w:val="center"/>
          </w:tcPr>
          <w:p w14:paraId="3099945D"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17</w:t>
            </w:r>
          </w:p>
        </w:tc>
        <w:tc>
          <w:tcPr>
            <w:tcW w:w="1645" w:type="dxa"/>
            <w:tcBorders>
              <w:top w:val="nil"/>
              <w:left w:val="nil"/>
              <w:bottom w:val="nil"/>
              <w:right w:val="nil"/>
            </w:tcBorders>
            <w:vAlign w:val="center"/>
          </w:tcPr>
          <w:p w14:paraId="0EDD7846"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4,332,886.83</w:t>
            </w:r>
          </w:p>
        </w:tc>
        <w:tc>
          <w:tcPr>
            <w:tcW w:w="1701" w:type="dxa"/>
            <w:tcBorders>
              <w:top w:val="nil"/>
              <w:left w:val="nil"/>
              <w:bottom w:val="nil"/>
              <w:right w:val="nil"/>
            </w:tcBorders>
            <w:vAlign w:val="center"/>
          </w:tcPr>
          <w:p w14:paraId="615BC9A7"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89,424.48</w:t>
            </w:r>
          </w:p>
        </w:tc>
        <w:tc>
          <w:tcPr>
            <w:tcW w:w="1701" w:type="dxa"/>
            <w:tcBorders>
              <w:top w:val="nil"/>
              <w:left w:val="nil"/>
              <w:bottom w:val="nil"/>
              <w:right w:val="nil"/>
            </w:tcBorders>
            <w:vAlign w:val="center"/>
          </w:tcPr>
          <w:p w14:paraId="1953FCAA"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4,422,311.31</w:t>
            </w:r>
          </w:p>
        </w:tc>
        <w:tc>
          <w:tcPr>
            <w:tcW w:w="1134" w:type="dxa"/>
            <w:tcBorders>
              <w:top w:val="nil"/>
              <w:left w:val="nil"/>
              <w:bottom w:val="nil"/>
              <w:right w:val="nil"/>
            </w:tcBorders>
            <w:vAlign w:val="center"/>
          </w:tcPr>
          <w:p w14:paraId="4610B5F0" w14:textId="77777777" w:rsidR="00312FC6" w:rsidRPr="004C4F6D" w:rsidRDefault="003919DE" w:rsidP="004C4F6D">
            <w:pPr>
              <w:tabs>
                <w:tab w:val="left" w:pos="1100"/>
              </w:tabs>
              <w:spacing w:after="0" w:line="240" w:lineRule="auto"/>
              <w:ind w:right="-182"/>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1988-2002</w:t>
            </w:r>
          </w:p>
        </w:tc>
        <w:tc>
          <w:tcPr>
            <w:tcW w:w="1168" w:type="dxa"/>
            <w:tcBorders>
              <w:top w:val="nil"/>
              <w:left w:val="nil"/>
              <w:bottom w:val="nil"/>
              <w:right w:val="nil"/>
            </w:tcBorders>
            <w:vAlign w:val="center"/>
          </w:tcPr>
          <w:p w14:paraId="0A208A2A"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20-34</w:t>
            </w:r>
          </w:p>
        </w:tc>
      </w:tr>
      <w:tr w:rsidR="00312FC6" w:rsidRPr="004C4F6D" w14:paraId="6711420D" w14:textId="77777777" w:rsidTr="002F1504">
        <w:trPr>
          <w:trHeight w:val="294"/>
        </w:trPr>
        <w:tc>
          <w:tcPr>
            <w:tcW w:w="1039" w:type="dxa"/>
            <w:tcBorders>
              <w:top w:val="nil"/>
              <w:left w:val="nil"/>
              <w:bottom w:val="nil"/>
              <w:right w:val="nil"/>
            </w:tcBorders>
            <w:vAlign w:val="center"/>
          </w:tcPr>
          <w:p w14:paraId="308DF0DA"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189</w:t>
            </w:r>
          </w:p>
        </w:tc>
        <w:tc>
          <w:tcPr>
            <w:tcW w:w="1645" w:type="dxa"/>
            <w:tcBorders>
              <w:top w:val="nil"/>
              <w:left w:val="nil"/>
              <w:bottom w:val="nil"/>
              <w:right w:val="nil"/>
            </w:tcBorders>
            <w:vAlign w:val="center"/>
          </w:tcPr>
          <w:p w14:paraId="505DA872"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49,223,649.42</w:t>
            </w:r>
          </w:p>
        </w:tc>
        <w:tc>
          <w:tcPr>
            <w:tcW w:w="1701" w:type="dxa"/>
            <w:tcBorders>
              <w:top w:val="nil"/>
              <w:left w:val="nil"/>
              <w:bottom w:val="nil"/>
              <w:right w:val="nil"/>
            </w:tcBorders>
            <w:vAlign w:val="center"/>
          </w:tcPr>
          <w:p w14:paraId="341401AB"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2,370,253.92</w:t>
            </w:r>
          </w:p>
        </w:tc>
        <w:tc>
          <w:tcPr>
            <w:tcW w:w="1701" w:type="dxa"/>
            <w:tcBorders>
              <w:top w:val="nil"/>
              <w:left w:val="nil"/>
              <w:bottom w:val="nil"/>
              <w:right w:val="nil"/>
            </w:tcBorders>
            <w:vAlign w:val="center"/>
          </w:tcPr>
          <w:p w14:paraId="7E90D84E"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51,593,903.34</w:t>
            </w:r>
          </w:p>
        </w:tc>
        <w:tc>
          <w:tcPr>
            <w:tcW w:w="1134" w:type="dxa"/>
            <w:tcBorders>
              <w:top w:val="nil"/>
              <w:left w:val="nil"/>
              <w:bottom w:val="nil"/>
              <w:right w:val="nil"/>
            </w:tcBorders>
            <w:vAlign w:val="center"/>
          </w:tcPr>
          <w:p w14:paraId="15C72AB7" w14:textId="77777777" w:rsidR="00312FC6" w:rsidRPr="004C4F6D" w:rsidRDefault="003919DE" w:rsidP="004C4F6D">
            <w:pPr>
              <w:tabs>
                <w:tab w:val="left" w:pos="1100"/>
              </w:tabs>
              <w:spacing w:after="0" w:line="240" w:lineRule="auto"/>
              <w:ind w:right="-182"/>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2003-2012</w:t>
            </w:r>
          </w:p>
        </w:tc>
        <w:tc>
          <w:tcPr>
            <w:tcW w:w="1168" w:type="dxa"/>
            <w:tcBorders>
              <w:top w:val="nil"/>
              <w:left w:val="nil"/>
              <w:bottom w:val="nil"/>
              <w:right w:val="nil"/>
            </w:tcBorders>
            <w:vAlign w:val="center"/>
          </w:tcPr>
          <w:p w14:paraId="14BE640F"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10-19</w:t>
            </w:r>
          </w:p>
        </w:tc>
      </w:tr>
      <w:tr w:rsidR="00312FC6" w:rsidRPr="004C4F6D" w14:paraId="7FC339D8" w14:textId="77777777" w:rsidTr="002F1504">
        <w:trPr>
          <w:trHeight w:val="294"/>
        </w:trPr>
        <w:tc>
          <w:tcPr>
            <w:tcW w:w="1039" w:type="dxa"/>
            <w:tcBorders>
              <w:top w:val="nil"/>
              <w:left w:val="nil"/>
              <w:bottom w:val="nil"/>
              <w:right w:val="nil"/>
            </w:tcBorders>
            <w:vAlign w:val="center"/>
          </w:tcPr>
          <w:p w14:paraId="1C1FEC2E"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173</w:t>
            </w:r>
          </w:p>
        </w:tc>
        <w:tc>
          <w:tcPr>
            <w:tcW w:w="1645" w:type="dxa"/>
            <w:tcBorders>
              <w:top w:val="nil"/>
              <w:left w:val="nil"/>
              <w:bottom w:val="nil"/>
              <w:right w:val="nil"/>
            </w:tcBorders>
            <w:vAlign w:val="center"/>
          </w:tcPr>
          <w:p w14:paraId="0FB45311"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70,410,491.33</w:t>
            </w:r>
          </w:p>
        </w:tc>
        <w:tc>
          <w:tcPr>
            <w:tcW w:w="1701" w:type="dxa"/>
            <w:tcBorders>
              <w:top w:val="nil"/>
              <w:left w:val="nil"/>
              <w:bottom w:val="nil"/>
              <w:right w:val="nil"/>
            </w:tcBorders>
            <w:vAlign w:val="center"/>
          </w:tcPr>
          <w:p w14:paraId="13E3690D"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414,109.50</w:t>
            </w:r>
          </w:p>
        </w:tc>
        <w:tc>
          <w:tcPr>
            <w:tcW w:w="1701" w:type="dxa"/>
            <w:tcBorders>
              <w:top w:val="nil"/>
              <w:left w:val="nil"/>
              <w:bottom w:val="nil"/>
              <w:right w:val="nil"/>
            </w:tcBorders>
            <w:vAlign w:val="center"/>
          </w:tcPr>
          <w:p w14:paraId="1641E234"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70,824,600.83</w:t>
            </w:r>
          </w:p>
        </w:tc>
        <w:tc>
          <w:tcPr>
            <w:tcW w:w="1134" w:type="dxa"/>
            <w:tcBorders>
              <w:top w:val="nil"/>
              <w:left w:val="nil"/>
              <w:bottom w:val="nil"/>
              <w:right w:val="nil"/>
            </w:tcBorders>
            <w:vAlign w:val="center"/>
          </w:tcPr>
          <w:p w14:paraId="788FAD7E" w14:textId="77777777" w:rsidR="00312FC6" w:rsidRPr="004C4F6D" w:rsidRDefault="003919DE" w:rsidP="004C4F6D">
            <w:pPr>
              <w:tabs>
                <w:tab w:val="left" w:pos="1100"/>
              </w:tabs>
              <w:spacing w:after="0" w:line="240" w:lineRule="auto"/>
              <w:ind w:right="-182"/>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2013-2016</w:t>
            </w:r>
          </w:p>
        </w:tc>
        <w:tc>
          <w:tcPr>
            <w:tcW w:w="1168" w:type="dxa"/>
            <w:tcBorders>
              <w:top w:val="nil"/>
              <w:left w:val="nil"/>
              <w:bottom w:val="nil"/>
              <w:right w:val="nil"/>
            </w:tcBorders>
            <w:vAlign w:val="center"/>
          </w:tcPr>
          <w:p w14:paraId="3AFFBB5A"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6-9</w:t>
            </w:r>
          </w:p>
        </w:tc>
      </w:tr>
      <w:tr w:rsidR="00312FC6" w:rsidRPr="004C4F6D" w14:paraId="26CA25D3" w14:textId="77777777" w:rsidTr="002F1504">
        <w:trPr>
          <w:trHeight w:val="294"/>
        </w:trPr>
        <w:tc>
          <w:tcPr>
            <w:tcW w:w="1039" w:type="dxa"/>
            <w:tcBorders>
              <w:top w:val="nil"/>
              <w:left w:val="nil"/>
              <w:bottom w:val="nil"/>
              <w:right w:val="nil"/>
            </w:tcBorders>
            <w:vAlign w:val="center"/>
          </w:tcPr>
          <w:p w14:paraId="7F8EFE9D"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3,077</w:t>
            </w:r>
          </w:p>
        </w:tc>
        <w:tc>
          <w:tcPr>
            <w:tcW w:w="1645" w:type="dxa"/>
            <w:tcBorders>
              <w:top w:val="nil"/>
              <w:left w:val="nil"/>
              <w:bottom w:val="nil"/>
              <w:right w:val="nil"/>
            </w:tcBorders>
            <w:vAlign w:val="center"/>
          </w:tcPr>
          <w:p w14:paraId="2BCAC3A6"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1,209,590,571.27</w:t>
            </w:r>
          </w:p>
        </w:tc>
        <w:tc>
          <w:tcPr>
            <w:tcW w:w="1701" w:type="dxa"/>
            <w:tcBorders>
              <w:top w:val="nil"/>
              <w:left w:val="nil"/>
              <w:bottom w:val="nil"/>
              <w:right w:val="nil"/>
            </w:tcBorders>
            <w:vAlign w:val="center"/>
          </w:tcPr>
          <w:p w14:paraId="1CC07F77"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85,568,622.10</w:t>
            </w:r>
          </w:p>
        </w:tc>
        <w:tc>
          <w:tcPr>
            <w:tcW w:w="1701" w:type="dxa"/>
            <w:tcBorders>
              <w:top w:val="nil"/>
              <w:left w:val="nil"/>
              <w:bottom w:val="nil"/>
              <w:right w:val="nil"/>
            </w:tcBorders>
            <w:vAlign w:val="center"/>
          </w:tcPr>
          <w:p w14:paraId="1FE6A8A3"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1,295,159,193.37</w:t>
            </w:r>
          </w:p>
        </w:tc>
        <w:tc>
          <w:tcPr>
            <w:tcW w:w="1134" w:type="dxa"/>
            <w:tcBorders>
              <w:top w:val="nil"/>
              <w:left w:val="nil"/>
              <w:bottom w:val="nil"/>
              <w:right w:val="nil"/>
            </w:tcBorders>
            <w:vAlign w:val="center"/>
          </w:tcPr>
          <w:p w14:paraId="6EE035BA" w14:textId="77777777" w:rsidR="00312FC6" w:rsidRPr="004C4F6D" w:rsidRDefault="003919DE" w:rsidP="004C4F6D">
            <w:pPr>
              <w:tabs>
                <w:tab w:val="left" w:pos="1100"/>
              </w:tabs>
              <w:spacing w:after="0" w:line="240" w:lineRule="auto"/>
              <w:ind w:right="-182"/>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2017-2019</w:t>
            </w:r>
          </w:p>
        </w:tc>
        <w:tc>
          <w:tcPr>
            <w:tcW w:w="1168" w:type="dxa"/>
            <w:tcBorders>
              <w:top w:val="nil"/>
              <w:left w:val="nil"/>
              <w:bottom w:val="nil"/>
              <w:right w:val="nil"/>
            </w:tcBorders>
            <w:vAlign w:val="center"/>
          </w:tcPr>
          <w:p w14:paraId="2A7A0979"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3-5</w:t>
            </w:r>
          </w:p>
        </w:tc>
      </w:tr>
      <w:tr w:rsidR="00312FC6" w:rsidRPr="004C4F6D" w14:paraId="64C48F95" w14:textId="77777777" w:rsidTr="002F1504">
        <w:trPr>
          <w:trHeight w:val="294"/>
        </w:trPr>
        <w:tc>
          <w:tcPr>
            <w:tcW w:w="1039" w:type="dxa"/>
            <w:tcBorders>
              <w:top w:val="nil"/>
              <w:left w:val="nil"/>
              <w:bottom w:val="single" w:sz="4" w:space="0" w:color="auto"/>
              <w:right w:val="nil"/>
            </w:tcBorders>
            <w:vAlign w:val="center"/>
          </w:tcPr>
          <w:p w14:paraId="3419D257"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827</w:t>
            </w:r>
          </w:p>
        </w:tc>
        <w:tc>
          <w:tcPr>
            <w:tcW w:w="1645" w:type="dxa"/>
            <w:tcBorders>
              <w:top w:val="nil"/>
              <w:left w:val="nil"/>
              <w:bottom w:val="single" w:sz="4" w:space="0" w:color="auto"/>
              <w:right w:val="nil"/>
            </w:tcBorders>
            <w:vAlign w:val="center"/>
          </w:tcPr>
          <w:p w14:paraId="5DA72068"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1,164,258,886.65</w:t>
            </w:r>
          </w:p>
        </w:tc>
        <w:tc>
          <w:tcPr>
            <w:tcW w:w="1701" w:type="dxa"/>
            <w:tcBorders>
              <w:top w:val="nil"/>
              <w:left w:val="nil"/>
              <w:bottom w:val="single" w:sz="4" w:space="0" w:color="auto"/>
              <w:right w:val="nil"/>
            </w:tcBorders>
            <w:vAlign w:val="center"/>
          </w:tcPr>
          <w:p w14:paraId="6F931696"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242,010,159.95</w:t>
            </w:r>
          </w:p>
        </w:tc>
        <w:tc>
          <w:tcPr>
            <w:tcW w:w="1701" w:type="dxa"/>
            <w:tcBorders>
              <w:top w:val="nil"/>
              <w:left w:val="nil"/>
              <w:bottom w:val="single" w:sz="4" w:space="0" w:color="auto"/>
              <w:right w:val="nil"/>
            </w:tcBorders>
            <w:vAlign w:val="center"/>
          </w:tcPr>
          <w:p w14:paraId="78D66C67"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1,406,269,046.60</w:t>
            </w:r>
          </w:p>
        </w:tc>
        <w:tc>
          <w:tcPr>
            <w:tcW w:w="1134" w:type="dxa"/>
            <w:tcBorders>
              <w:top w:val="nil"/>
              <w:left w:val="nil"/>
              <w:bottom w:val="single" w:sz="4" w:space="0" w:color="auto"/>
              <w:right w:val="nil"/>
            </w:tcBorders>
            <w:vAlign w:val="center"/>
          </w:tcPr>
          <w:p w14:paraId="5509AB9F" w14:textId="77777777" w:rsidR="00312FC6" w:rsidRPr="004C4F6D" w:rsidRDefault="003919DE" w:rsidP="004C4F6D">
            <w:pPr>
              <w:tabs>
                <w:tab w:val="left" w:pos="1100"/>
              </w:tabs>
              <w:spacing w:after="0" w:line="240" w:lineRule="auto"/>
              <w:ind w:right="-182"/>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2020</w:t>
            </w:r>
          </w:p>
        </w:tc>
        <w:tc>
          <w:tcPr>
            <w:tcW w:w="1168" w:type="dxa"/>
            <w:tcBorders>
              <w:top w:val="nil"/>
              <w:left w:val="nil"/>
              <w:bottom w:val="single" w:sz="4" w:space="0" w:color="auto"/>
              <w:right w:val="nil"/>
            </w:tcBorders>
            <w:vAlign w:val="center"/>
          </w:tcPr>
          <w:p w14:paraId="6F09C482"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color w:val="000000"/>
                <w:sz w:val="14"/>
                <w:szCs w:val="14"/>
                <w:lang w:eastAsia="en-PH"/>
              </w:rPr>
              <w:t>2</w:t>
            </w:r>
          </w:p>
        </w:tc>
      </w:tr>
      <w:tr w:rsidR="00312FC6" w:rsidRPr="004C4F6D" w14:paraId="7E59066B" w14:textId="77777777" w:rsidTr="002F1504">
        <w:trPr>
          <w:trHeight w:val="294"/>
        </w:trPr>
        <w:tc>
          <w:tcPr>
            <w:tcW w:w="1039" w:type="dxa"/>
            <w:tcBorders>
              <w:top w:val="single" w:sz="4" w:space="0" w:color="auto"/>
              <w:left w:val="nil"/>
              <w:bottom w:val="double" w:sz="4" w:space="0" w:color="auto"/>
              <w:right w:val="nil"/>
            </w:tcBorders>
            <w:vAlign w:val="center"/>
          </w:tcPr>
          <w:p w14:paraId="63C537BF"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4,283</w:t>
            </w:r>
          </w:p>
        </w:tc>
        <w:tc>
          <w:tcPr>
            <w:tcW w:w="1645" w:type="dxa"/>
            <w:tcBorders>
              <w:top w:val="single" w:sz="4" w:space="0" w:color="auto"/>
              <w:left w:val="nil"/>
              <w:bottom w:val="double" w:sz="4" w:space="0" w:color="auto"/>
              <w:right w:val="nil"/>
            </w:tcBorders>
            <w:vAlign w:val="center"/>
          </w:tcPr>
          <w:p w14:paraId="1FF87474"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2,497,816,485.50</w:t>
            </w:r>
          </w:p>
        </w:tc>
        <w:tc>
          <w:tcPr>
            <w:tcW w:w="1701" w:type="dxa"/>
            <w:tcBorders>
              <w:top w:val="single" w:sz="4" w:space="0" w:color="auto"/>
              <w:left w:val="nil"/>
              <w:bottom w:val="double" w:sz="4" w:space="0" w:color="auto"/>
              <w:right w:val="nil"/>
            </w:tcBorders>
            <w:vAlign w:val="center"/>
          </w:tcPr>
          <w:p w14:paraId="1998465B"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330,452,569.95</w:t>
            </w:r>
          </w:p>
        </w:tc>
        <w:tc>
          <w:tcPr>
            <w:tcW w:w="1701" w:type="dxa"/>
            <w:tcBorders>
              <w:top w:val="single" w:sz="4" w:space="0" w:color="auto"/>
              <w:left w:val="nil"/>
              <w:bottom w:val="double" w:sz="4" w:space="0" w:color="auto"/>
              <w:right w:val="nil"/>
            </w:tcBorders>
            <w:vAlign w:val="center"/>
          </w:tcPr>
          <w:p w14:paraId="01CFDE17" w14:textId="77777777" w:rsidR="00312FC6" w:rsidRPr="004C4F6D" w:rsidRDefault="003919DE" w:rsidP="004C4F6D">
            <w:pPr>
              <w:spacing w:after="0" w:line="240" w:lineRule="auto"/>
              <w:ind w:left="195" w:right="140"/>
              <w:jc w:val="right"/>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2,828,269,055.45</w:t>
            </w:r>
          </w:p>
        </w:tc>
        <w:tc>
          <w:tcPr>
            <w:tcW w:w="1134" w:type="dxa"/>
            <w:tcBorders>
              <w:top w:val="single" w:sz="4" w:space="0" w:color="auto"/>
              <w:left w:val="nil"/>
              <w:bottom w:val="double" w:sz="4" w:space="0" w:color="auto"/>
              <w:right w:val="nil"/>
            </w:tcBorders>
            <w:vAlign w:val="center"/>
          </w:tcPr>
          <w:p w14:paraId="1E87C158" w14:textId="77777777" w:rsidR="00312FC6" w:rsidRPr="004C4F6D" w:rsidRDefault="003919DE" w:rsidP="004C4F6D">
            <w:pPr>
              <w:spacing w:after="0" w:line="240" w:lineRule="auto"/>
              <w:ind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1988-2020</w:t>
            </w:r>
          </w:p>
        </w:tc>
        <w:tc>
          <w:tcPr>
            <w:tcW w:w="1168" w:type="dxa"/>
            <w:tcBorders>
              <w:top w:val="single" w:sz="4" w:space="0" w:color="auto"/>
              <w:left w:val="nil"/>
              <w:bottom w:val="double" w:sz="4" w:space="0" w:color="auto"/>
              <w:right w:val="nil"/>
            </w:tcBorders>
            <w:vAlign w:val="center"/>
          </w:tcPr>
          <w:p w14:paraId="59110E28" w14:textId="77777777" w:rsidR="00312FC6" w:rsidRPr="004C4F6D" w:rsidRDefault="003919DE" w:rsidP="004C4F6D">
            <w:pPr>
              <w:spacing w:after="0" w:line="240" w:lineRule="auto"/>
              <w:ind w:left="195" w:right="140"/>
              <w:jc w:val="center"/>
              <w:rPr>
                <w:rFonts w:ascii="Arial" w:eastAsia="Arial Narrow" w:hAnsi="Arial" w:cs="Arial"/>
                <w:color w:val="000000"/>
                <w:sz w:val="14"/>
                <w:szCs w:val="14"/>
                <w:lang w:eastAsia="en-PH"/>
              </w:rPr>
            </w:pPr>
            <w:r w:rsidRPr="004C4F6D">
              <w:rPr>
                <w:rFonts w:ascii="Arial" w:eastAsia="Arial Narrow" w:hAnsi="Arial" w:cs="Arial"/>
                <w:b/>
                <w:color w:val="000000"/>
                <w:sz w:val="14"/>
                <w:szCs w:val="14"/>
                <w:lang w:eastAsia="en-PH"/>
              </w:rPr>
              <w:t>2-34</w:t>
            </w:r>
          </w:p>
        </w:tc>
      </w:tr>
    </w:tbl>
    <w:p w14:paraId="38583AAC" w14:textId="77777777" w:rsidR="00312FC6" w:rsidRPr="004C4F6D" w:rsidRDefault="00312FC6" w:rsidP="004C4F6D">
      <w:pPr>
        <w:pStyle w:val="ListParagraph"/>
        <w:autoSpaceDE w:val="0"/>
        <w:autoSpaceDN w:val="0"/>
        <w:adjustRightInd w:val="0"/>
        <w:spacing w:after="0" w:line="240" w:lineRule="auto"/>
        <w:ind w:left="0"/>
        <w:jc w:val="both"/>
        <w:rPr>
          <w:rFonts w:ascii="Arial" w:eastAsia="Arial Narrow" w:hAnsi="Arial" w:cs="Arial"/>
          <w:color w:val="000000"/>
          <w:lang w:eastAsia="en-PH"/>
        </w:rPr>
      </w:pPr>
    </w:p>
    <w:p w14:paraId="2BCF9F71"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lang w:eastAsia="en-PH"/>
        </w:rPr>
      </w:pPr>
      <w:r w:rsidRPr="004C4F6D">
        <w:rPr>
          <w:rFonts w:ascii="Arial" w:eastAsia="Arial Narrow" w:hAnsi="Arial" w:cs="Arial"/>
          <w:color w:val="000000"/>
          <w:lang w:eastAsia="en-PH"/>
        </w:rPr>
        <w:lastRenderedPageBreak/>
        <w:t>Management provided the following reasons on the lack of recent appraisals on said properties:</w:t>
      </w:r>
    </w:p>
    <w:p w14:paraId="57248C6A" w14:textId="77777777" w:rsidR="00312FC6" w:rsidRPr="004C4F6D" w:rsidRDefault="00312FC6" w:rsidP="004C4F6D">
      <w:pPr>
        <w:spacing w:after="0" w:line="240" w:lineRule="auto"/>
        <w:ind w:left="195" w:right="140"/>
        <w:jc w:val="both"/>
        <w:rPr>
          <w:rFonts w:ascii="Arial" w:eastAsia="Arial Narrow" w:hAnsi="Arial" w:cs="Arial"/>
          <w:color w:val="000000"/>
          <w:lang w:eastAsia="en-PH"/>
        </w:rPr>
      </w:pPr>
    </w:p>
    <w:p w14:paraId="302B9A99" w14:textId="77777777" w:rsidR="00312FC6" w:rsidRPr="004C4F6D" w:rsidRDefault="003919DE" w:rsidP="004C4F6D">
      <w:pPr>
        <w:pStyle w:val="ListParagraph"/>
        <w:numPr>
          <w:ilvl w:val="0"/>
          <w:numId w:val="20"/>
        </w:numPr>
        <w:spacing w:after="0" w:line="240" w:lineRule="auto"/>
        <w:ind w:right="140" w:hanging="544"/>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Pandemic </w:t>
      </w:r>
    </w:p>
    <w:p w14:paraId="13D69C21" w14:textId="77777777" w:rsidR="00312FC6" w:rsidRPr="004C4F6D" w:rsidRDefault="00312FC6" w:rsidP="004C4F6D">
      <w:pPr>
        <w:spacing w:after="0" w:line="240" w:lineRule="auto"/>
        <w:ind w:left="904" w:right="140" w:hanging="295"/>
        <w:jc w:val="both"/>
        <w:rPr>
          <w:rFonts w:ascii="Arial" w:eastAsia="Arial Narrow" w:hAnsi="Arial" w:cs="Arial"/>
          <w:color w:val="000000"/>
          <w:lang w:eastAsia="en-PH"/>
        </w:rPr>
      </w:pPr>
    </w:p>
    <w:p w14:paraId="2B304879" w14:textId="33912879" w:rsidR="00312FC6" w:rsidRPr="004C4F6D" w:rsidRDefault="003919DE" w:rsidP="004C4F6D">
      <w:pPr>
        <w:spacing w:after="0" w:line="240" w:lineRule="auto"/>
        <w:ind w:left="1260"/>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All </w:t>
      </w:r>
      <w:r w:rsidR="002F48F1" w:rsidRPr="004C4F6D">
        <w:rPr>
          <w:rFonts w:ascii="Arial" w:eastAsia="Arial Narrow" w:hAnsi="Arial" w:cs="Arial"/>
          <w:color w:val="000000"/>
          <w:lang w:eastAsia="en-PH"/>
        </w:rPr>
        <w:t>ROPA</w:t>
      </w:r>
      <w:r w:rsidRPr="004C4F6D">
        <w:rPr>
          <w:rFonts w:ascii="Arial" w:eastAsia="Arial Narrow" w:hAnsi="Arial" w:cs="Arial"/>
          <w:color w:val="000000"/>
          <w:lang w:eastAsia="en-PH"/>
        </w:rPr>
        <w:t xml:space="preserve"> due for renewal of appraisal in CY 2020 and in the last semester of CY 2019 were not processed due to lockdown, hence, requested for appraisal together with the CY 2021 to CY 2022 requests for updating of appraisal reports</w:t>
      </w:r>
      <w:r w:rsidRPr="004C4F6D">
        <w:rPr>
          <w:rFonts w:ascii="Arial" w:eastAsia="Arial Narrow" w:hAnsi="Arial" w:cs="Arial"/>
          <w:lang w:eastAsia="en-PH"/>
        </w:rPr>
        <w:t>.</w:t>
      </w:r>
      <w:r w:rsidRPr="004C4F6D">
        <w:rPr>
          <w:rFonts w:ascii="Arial" w:eastAsia="Arial Narrow" w:hAnsi="Arial" w:cs="Arial"/>
          <w:color w:val="000000"/>
          <w:lang w:eastAsia="en-PH"/>
        </w:rPr>
        <w:t xml:space="preserve"> </w:t>
      </w:r>
    </w:p>
    <w:p w14:paraId="7659236B" w14:textId="38867B53" w:rsidR="00312FC6" w:rsidRPr="004C4F6D" w:rsidRDefault="00312FC6" w:rsidP="004C4F6D">
      <w:pPr>
        <w:spacing w:after="0" w:line="240" w:lineRule="auto"/>
        <w:ind w:left="1260" w:right="140"/>
        <w:jc w:val="both"/>
        <w:rPr>
          <w:rFonts w:ascii="Arial" w:eastAsia="Arial Narrow" w:hAnsi="Arial" w:cs="Arial"/>
          <w:color w:val="000000"/>
          <w:lang w:eastAsia="en-PH"/>
        </w:rPr>
      </w:pPr>
    </w:p>
    <w:p w14:paraId="56BA57CA" w14:textId="62CA70DF" w:rsidR="002F48F1" w:rsidRPr="004C4F6D" w:rsidRDefault="003919DE" w:rsidP="004C4F6D">
      <w:pPr>
        <w:pStyle w:val="ListParagraph"/>
        <w:numPr>
          <w:ilvl w:val="0"/>
          <w:numId w:val="20"/>
        </w:numPr>
        <w:spacing w:after="0" w:line="240" w:lineRule="auto"/>
        <w:ind w:hanging="544"/>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Volume of appraisal requests </w:t>
      </w:r>
    </w:p>
    <w:p w14:paraId="4DBEAA17" w14:textId="77777777" w:rsidR="002F48F1" w:rsidRPr="004C4F6D" w:rsidRDefault="002F48F1" w:rsidP="004C4F6D">
      <w:pPr>
        <w:pStyle w:val="ListParagraph"/>
        <w:spacing w:after="0" w:line="240" w:lineRule="auto"/>
        <w:ind w:left="1264"/>
        <w:jc w:val="both"/>
        <w:rPr>
          <w:rFonts w:ascii="Arial" w:eastAsia="Arial Narrow" w:hAnsi="Arial" w:cs="Arial"/>
          <w:color w:val="000000"/>
          <w:lang w:eastAsia="en-PH"/>
        </w:rPr>
      </w:pPr>
    </w:p>
    <w:p w14:paraId="54B0BB6D" w14:textId="2E64D847" w:rsidR="00312FC6" w:rsidRPr="004C4F6D" w:rsidRDefault="003919DE" w:rsidP="004C4F6D">
      <w:pPr>
        <w:pStyle w:val="ListParagraph"/>
        <w:spacing w:after="0" w:line="240" w:lineRule="auto"/>
        <w:ind w:left="1264"/>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Due to volume, PVCID engaged the services of Third-Party Appraisers (TPA) to include appraisal of ROPA with </w:t>
      </w:r>
      <w:r w:rsidR="002F48F1" w:rsidRPr="004C4F6D">
        <w:rPr>
          <w:rFonts w:ascii="Arial" w:eastAsia="Arial Narrow" w:hAnsi="Arial" w:cs="Arial"/>
          <w:color w:val="000000"/>
          <w:lang w:eastAsia="en-PH"/>
        </w:rPr>
        <w:t>b</w:t>
      </w:r>
      <w:r w:rsidRPr="004C4F6D">
        <w:rPr>
          <w:rFonts w:ascii="Arial" w:eastAsia="Arial Narrow" w:hAnsi="Arial" w:cs="Arial"/>
          <w:color w:val="000000"/>
          <w:lang w:eastAsia="en-PH"/>
        </w:rPr>
        <w:t xml:space="preserve">ook </w:t>
      </w:r>
      <w:r w:rsidR="002F48F1" w:rsidRPr="004C4F6D">
        <w:rPr>
          <w:rFonts w:ascii="Arial" w:eastAsia="Arial Narrow" w:hAnsi="Arial" w:cs="Arial"/>
          <w:color w:val="000000"/>
          <w:lang w:eastAsia="en-PH"/>
        </w:rPr>
        <w:t>v</w:t>
      </w:r>
      <w:r w:rsidRPr="004C4F6D">
        <w:rPr>
          <w:rFonts w:ascii="Arial" w:eastAsia="Arial Narrow" w:hAnsi="Arial" w:cs="Arial"/>
          <w:color w:val="000000"/>
          <w:lang w:eastAsia="en-PH"/>
        </w:rPr>
        <w:t xml:space="preserve">alue of less than P100 million.  In June 2022, PVCID’s TPAs Vitale Valuation Services, Inc. (Vitale) and the Royal Asia Appraisal Corporation (RAAC) returned the accounts received from SPAD in CY 2021, citing that they were already loaded with endorsements for appraisal of loan accounts for restructuring from the Head Office (HO) and the LCs. In October 2022, TPAs returned to PVCID another batch of </w:t>
      </w:r>
      <w:r w:rsidR="002F48F1" w:rsidRPr="004C4F6D">
        <w:rPr>
          <w:rFonts w:ascii="Arial" w:eastAsia="Arial Narrow" w:hAnsi="Arial" w:cs="Arial"/>
          <w:lang w:eastAsia="en-PH"/>
        </w:rPr>
        <w:t>a</w:t>
      </w:r>
      <w:r w:rsidRPr="004C4F6D">
        <w:rPr>
          <w:rFonts w:ascii="Arial" w:eastAsia="Arial Narrow" w:hAnsi="Arial" w:cs="Arial"/>
          <w:lang w:eastAsia="en-PH"/>
        </w:rPr>
        <w:t xml:space="preserve">ppraisal </w:t>
      </w:r>
      <w:r w:rsidRPr="004C4F6D">
        <w:rPr>
          <w:rFonts w:ascii="Arial" w:eastAsia="Arial Narrow" w:hAnsi="Arial" w:cs="Arial"/>
          <w:color w:val="000000"/>
          <w:lang w:eastAsia="en-PH"/>
        </w:rPr>
        <w:t>requests due to volume and also their contracts were also expiring.</w:t>
      </w:r>
    </w:p>
    <w:p w14:paraId="1B1332AB" w14:textId="77777777" w:rsidR="00312FC6" w:rsidRPr="004C4F6D" w:rsidRDefault="00312FC6" w:rsidP="004C4F6D">
      <w:pPr>
        <w:spacing w:after="0" w:line="240" w:lineRule="auto"/>
        <w:ind w:left="621" w:right="140" w:hanging="295"/>
        <w:jc w:val="both"/>
        <w:rPr>
          <w:rFonts w:ascii="Arial" w:eastAsia="Arial Narrow" w:hAnsi="Arial" w:cs="Arial"/>
          <w:lang w:eastAsia="en-PH"/>
        </w:rPr>
      </w:pPr>
    </w:p>
    <w:p w14:paraId="4A8B9D71" w14:textId="17A85CEE" w:rsidR="00312FC6" w:rsidRPr="004C4F6D" w:rsidRDefault="003919DE" w:rsidP="004C4F6D">
      <w:pPr>
        <w:spacing w:after="0" w:line="240" w:lineRule="auto"/>
        <w:ind w:left="1264"/>
        <w:jc w:val="both"/>
        <w:rPr>
          <w:rFonts w:ascii="Arial" w:eastAsia="Arial Narrow" w:hAnsi="Arial" w:cs="Arial"/>
          <w:lang w:eastAsia="en-PH"/>
        </w:rPr>
      </w:pPr>
      <w:r w:rsidRPr="004C4F6D">
        <w:rPr>
          <w:rFonts w:ascii="Arial" w:eastAsia="Arial Narrow" w:hAnsi="Arial" w:cs="Arial"/>
          <w:lang w:eastAsia="en-PH"/>
        </w:rPr>
        <w:t xml:space="preserve">For properties located outside of Metro Manila, requests </w:t>
      </w:r>
      <w:r w:rsidR="00A21DDA" w:rsidRPr="004C4F6D">
        <w:rPr>
          <w:rFonts w:ascii="Arial" w:eastAsia="Arial Narrow" w:hAnsi="Arial" w:cs="Arial"/>
          <w:lang w:eastAsia="en-PH"/>
        </w:rPr>
        <w:t xml:space="preserve">for appraisal by field teams </w:t>
      </w:r>
      <w:r w:rsidRPr="004C4F6D">
        <w:rPr>
          <w:rFonts w:ascii="Arial" w:eastAsia="Arial Narrow" w:hAnsi="Arial" w:cs="Arial"/>
          <w:lang w:eastAsia="en-PH"/>
        </w:rPr>
        <w:t xml:space="preserve">were forwarded to Agrarian Operations Centers (AOCs). </w:t>
      </w:r>
      <w:r w:rsidR="00281727" w:rsidRPr="004C4F6D">
        <w:rPr>
          <w:rFonts w:ascii="Arial" w:eastAsia="Arial Narrow" w:hAnsi="Arial" w:cs="Arial"/>
          <w:lang w:eastAsia="en-PH"/>
        </w:rPr>
        <w:t>T</w:t>
      </w:r>
      <w:r w:rsidRPr="004C4F6D">
        <w:rPr>
          <w:rFonts w:ascii="Arial" w:eastAsia="Arial Narrow" w:hAnsi="Arial" w:cs="Arial"/>
          <w:lang w:eastAsia="en-PH"/>
        </w:rPr>
        <w:t xml:space="preserve">he AOCs claimed that they </w:t>
      </w:r>
      <w:r w:rsidR="00281727" w:rsidRPr="004C4F6D">
        <w:rPr>
          <w:rFonts w:ascii="Arial" w:eastAsia="Arial Narrow" w:hAnsi="Arial" w:cs="Arial"/>
          <w:lang w:eastAsia="en-PH"/>
        </w:rPr>
        <w:t xml:space="preserve">have received requests for appraisal but with without supporting documents hence returned to SPAD. </w:t>
      </w:r>
      <w:r w:rsidRPr="004C4F6D">
        <w:rPr>
          <w:rFonts w:ascii="Arial" w:eastAsia="Arial Narrow" w:hAnsi="Arial" w:cs="Arial"/>
          <w:lang w:eastAsia="en-PH"/>
        </w:rPr>
        <w:t xml:space="preserve">SPAD asserted that </w:t>
      </w:r>
      <w:r w:rsidR="00281727" w:rsidRPr="004C4F6D">
        <w:rPr>
          <w:rFonts w:ascii="Arial" w:eastAsia="Arial Narrow" w:hAnsi="Arial" w:cs="Arial"/>
          <w:lang w:eastAsia="en-PH"/>
        </w:rPr>
        <w:t xml:space="preserve">the </w:t>
      </w:r>
      <w:r w:rsidRPr="004C4F6D">
        <w:rPr>
          <w:rFonts w:ascii="Arial" w:eastAsia="Arial Narrow" w:hAnsi="Arial" w:cs="Arial"/>
          <w:lang w:eastAsia="en-PH"/>
        </w:rPr>
        <w:t xml:space="preserve">requests with supporting documents </w:t>
      </w:r>
      <w:r w:rsidR="00281727" w:rsidRPr="004C4F6D">
        <w:rPr>
          <w:rFonts w:ascii="Arial" w:eastAsia="Arial Narrow" w:hAnsi="Arial" w:cs="Arial"/>
          <w:lang w:eastAsia="en-PH"/>
        </w:rPr>
        <w:t xml:space="preserve">were sent through email </w:t>
      </w:r>
      <w:r w:rsidRPr="004C4F6D">
        <w:rPr>
          <w:rFonts w:ascii="Arial" w:eastAsia="Arial Narrow" w:hAnsi="Arial" w:cs="Arial"/>
          <w:lang w:eastAsia="en-PH"/>
        </w:rPr>
        <w:t xml:space="preserve">and forwarded </w:t>
      </w:r>
      <w:r w:rsidR="00281727" w:rsidRPr="004C4F6D">
        <w:rPr>
          <w:rFonts w:ascii="Arial" w:eastAsia="Arial Narrow" w:hAnsi="Arial" w:cs="Arial"/>
          <w:lang w:eastAsia="en-PH"/>
        </w:rPr>
        <w:t xml:space="preserve">the </w:t>
      </w:r>
      <w:r w:rsidRPr="004C4F6D">
        <w:rPr>
          <w:rFonts w:ascii="Arial" w:eastAsia="Arial Narrow" w:hAnsi="Arial" w:cs="Arial"/>
          <w:lang w:eastAsia="en-PH"/>
        </w:rPr>
        <w:t>sent email to the AOCs.</w:t>
      </w:r>
    </w:p>
    <w:p w14:paraId="6923D14A" w14:textId="77777777" w:rsidR="00312FC6" w:rsidRPr="004C4F6D" w:rsidRDefault="00312FC6" w:rsidP="004C4F6D">
      <w:pPr>
        <w:spacing w:after="0" w:line="240" w:lineRule="auto"/>
        <w:ind w:left="1264" w:right="140"/>
        <w:jc w:val="both"/>
        <w:rPr>
          <w:rFonts w:ascii="Arial" w:eastAsia="Arial Narrow" w:hAnsi="Arial" w:cs="Arial"/>
          <w:lang w:eastAsia="en-PH"/>
        </w:rPr>
      </w:pPr>
    </w:p>
    <w:p w14:paraId="1E20EA89" w14:textId="6269E532" w:rsidR="00312FC6" w:rsidRPr="004C4F6D" w:rsidRDefault="002329BB" w:rsidP="004C4F6D">
      <w:pPr>
        <w:pStyle w:val="ListParagraph"/>
        <w:numPr>
          <w:ilvl w:val="0"/>
          <w:numId w:val="20"/>
        </w:numPr>
        <w:spacing w:after="0" w:line="240" w:lineRule="auto"/>
        <w:ind w:hanging="544"/>
        <w:jc w:val="both"/>
        <w:rPr>
          <w:rFonts w:ascii="Arial" w:eastAsia="Arial Narrow" w:hAnsi="Arial" w:cs="Arial"/>
          <w:lang w:eastAsia="en-PH"/>
        </w:rPr>
      </w:pPr>
      <w:r w:rsidRPr="004C4F6D">
        <w:rPr>
          <w:rFonts w:ascii="Arial" w:eastAsia="Arial Narrow" w:hAnsi="Arial" w:cs="Arial"/>
          <w:color w:val="000000"/>
          <w:lang w:eastAsia="en-PH"/>
        </w:rPr>
        <w:t xml:space="preserve">Seventy-six </w:t>
      </w:r>
      <w:r w:rsidR="003919DE" w:rsidRPr="004C4F6D">
        <w:rPr>
          <w:rFonts w:ascii="Arial" w:eastAsia="Arial Narrow" w:hAnsi="Arial" w:cs="Arial"/>
          <w:lang w:eastAsia="en-PH"/>
        </w:rPr>
        <w:t>p</w:t>
      </w:r>
      <w:r w:rsidR="003919DE" w:rsidRPr="004C4F6D">
        <w:rPr>
          <w:rFonts w:ascii="Arial" w:eastAsia="Arial Narrow" w:hAnsi="Arial" w:cs="Arial"/>
          <w:color w:val="000000"/>
          <w:lang w:eastAsia="en-PH"/>
        </w:rPr>
        <w:t xml:space="preserve">roperties with book and appraisal values totaling P16,045,002.83, and P28,050,691.46, respectively, were unlocated. </w:t>
      </w:r>
      <w:r w:rsidRPr="004C4F6D">
        <w:rPr>
          <w:rFonts w:ascii="Arial" w:eastAsia="Arial Narrow" w:hAnsi="Arial" w:cs="Arial"/>
          <w:color w:val="000000"/>
          <w:lang w:eastAsia="en-PH"/>
        </w:rPr>
        <w:t>The SPAD provided the following actions taken on the audit team’s</w:t>
      </w:r>
      <w:r w:rsidR="003919DE" w:rsidRPr="004C4F6D">
        <w:rPr>
          <w:rFonts w:ascii="Arial" w:eastAsia="Arial Narrow" w:hAnsi="Arial" w:cs="Arial"/>
          <w:color w:val="000000"/>
          <w:lang w:eastAsia="en-PH"/>
        </w:rPr>
        <w:t xml:space="preserve"> recommendation to conduct investigation of the unlocated properties:</w:t>
      </w:r>
    </w:p>
    <w:p w14:paraId="6FD25DC3" w14:textId="77777777" w:rsidR="00312FC6" w:rsidRPr="004C4F6D" w:rsidRDefault="00312FC6" w:rsidP="004C4F6D">
      <w:pPr>
        <w:spacing w:after="0" w:line="240" w:lineRule="auto"/>
        <w:ind w:left="261" w:right="140"/>
        <w:jc w:val="both"/>
        <w:rPr>
          <w:rFonts w:ascii="Arial" w:eastAsia="Arial Narrow" w:hAnsi="Arial" w:cs="Arial"/>
          <w:color w:val="000000"/>
          <w:lang w:eastAsia="en-PH"/>
        </w:rPr>
      </w:pPr>
    </w:p>
    <w:p w14:paraId="7463F36E" w14:textId="4504598B" w:rsidR="00312FC6" w:rsidRPr="004C4F6D" w:rsidRDefault="002329BB" w:rsidP="004C4F6D">
      <w:pPr>
        <w:pStyle w:val="ListParagraph"/>
        <w:numPr>
          <w:ilvl w:val="0"/>
          <w:numId w:val="21"/>
        </w:numPr>
        <w:spacing w:after="0" w:line="240" w:lineRule="auto"/>
        <w:ind w:left="1701"/>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One </w:t>
      </w:r>
      <w:r w:rsidR="003919DE" w:rsidRPr="004C4F6D">
        <w:rPr>
          <w:rFonts w:ascii="Arial" w:eastAsia="Arial Narrow" w:hAnsi="Arial" w:cs="Arial"/>
          <w:color w:val="000000"/>
          <w:lang w:eastAsia="en-PH"/>
        </w:rPr>
        <w:t xml:space="preserve">property with book value of </w:t>
      </w:r>
      <w:r w:rsidRPr="004C4F6D">
        <w:rPr>
          <w:rFonts w:ascii="Arial" w:eastAsia="Arial Narrow" w:hAnsi="Arial" w:cs="Arial"/>
          <w:color w:val="000000"/>
          <w:lang w:eastAsia="en-PH"/>
        </w:rPr>
        <w:t>P</w:t>
      </w:r>
      <w:r w:rsidR="00471E39" w:rsidRPr="004C4F6D">
        <w:rPr>
          <w:rFonts w:ascii="Arial" w:eastAsia="Arial Narrow" w:hAnsi="Arial" w:cs="Arial"/>
          <w:color w:val="000000"/>
          <w:lang w:eastAsia="en-PH"/>
        </w:rPr>
        <w:t>3,248,100</w:t>
      </w:r>
      <w:r w:rsidRPr="004C4F6D">
        <w:rPr>
          <w:rFonts w:ascii="Arial" w:eastAsia="Arial Narrow" w:hAnsi="Arial" w:cs="Arial"/>
          <w:color w:val="000000"/>
          <w:lang w:eastAsia="en-PH"/>
        </w:rPr>
        <w:t xml:space="preserve"> </w:t>
      </w:r>
      <w:r w:rsidR="003919DE" w:rsidRPr="004C4F6D">
        <w:rPr>
          <w:rFonts w:ascii="Arial" w:eastAsia="Arial Narrow" w:hAnsi="Arial" w:cs="Arial"/>
          <w:color w:val="000000"/>
          <w:lang w:eastAsia="en-PH"/>
        </w:rPr>
        <w:t>has been requested for relocation survey on 15 April 2010 but the property still could not be located</w:t>
      </w:r>
    </w:p>
    <w:p w14:paraId="397EAAE3" w14:textId="19C5E422" w:rsidR="00312FC6" w:rsidRPr="004C4F6D" w:rsidRDefault="002329BB" w:rsidP="004C4F6D">
      <w:pPr>
        <w:pStyle w:val="ListParagraph"/>
        <w:numPr>
          <w:ilvl w:val="0"/>
          <w:numId w:val="21"/>
        </w:numPr>
        <w:spacing w:after="0" w:line="240" w:lineRule="auto"/>
        <w:ind w:left="1701"/>
        <w:jc w:val="both"/>
        <w:rPr>
          <w:rFonts w:ascii="Arial" w:eastAsia="Arial Narrow" w:hAnsi="Arial" w:cs="Arial"/>
          <w:lang w:eastAsia="en-PH"/>
        </w:rPr>
      </w:pPr>
      <w:r w:rsidRPr="004C4F6D">
        <w:rPr>
          <w:rFonts w:ascii="Arial" w:eastAsia="Arial Narrow" w:hAnsi="Arial" w:cs="Arial"/>
          <w:color w:val="000000"/>
          <w:lang w:eastAsia="en-PH"/>
        </w:rPr>
        <w:t xml:space="preserve">The location of </w:t>
      </w:r>
      <w:r w:rsidR="003919DE" w:rsidRPr="004C4F6D">
        <w:rPr>
          <w:rFonts w:ascii="Arial" w:eastAsia="Arial Narrow" w:hAnsi="Arial" w:cs="Arial"/>
          <w:color w:val="000000"/>
          <w:lang w:eastAsia="en-PH"/>
        </w:rPr>
        <w:t>41 properties could not be pinpointed since their tax mapping data was not updated</w:t>
      </w:r>
    </w:p>
    <w:p w14:paraId="4B6E9DE8" w14:textId="48BBF669" w:rsidR="00312FC6" w:rsidRPr="004C4F6D" w:rsidRDefault="002329BB" w:rsidP="004C4F6D">
      <w:pPr>
        <w:pStyle w:val="ListParagraph"/>
        <w:numPr>
          <w:ilvl w:val="0"/>
          <w:numId w:val="21"/>
        </w:numPr>
        <w:spacing w:after="0" w:line="240" w:lineRule="auto"/>
        <w:ind w:left="1701"/>
        <w:jc w:val="both"/>
        <w:rPr>
          <w:rFonts w:ascii="Arial" w:eastAsia="Arial Narrow" w:hAnsi="Arial" w:cs="Arial"/>
          <w:lang w:eastAsia="en-PH"/>
        </w:rPr>
      </w:pPr>
      <w:r w:rsidRPr="004C4F6D">
        <w:rPr>
          <w:rFonts w:ascii="Arial" w:eastAsia="Arial Narrow" w:hAnsi="Arial" w:cs="Arial"/>
          <w:lang w:eastAsia="en-PH"/>
        </w:rPr>
        <w:t>Survey plan of twenty-nine</w:t>
      </w:r>
      <w:r w:rsidR="003919DE" w:rsidRPr="004C4F6D">
        <w:rPr>
          <w:rFonts w:ascii="Arial" w:eastAsia="Arial Narrow" w:hAnsi="Arial" w:cs="Arial"/>
          <w:color w:val="000000"/>
          <w:lang w:eastAsia="en-PH"/>
        </w:rPr>
        <w:t xml:space="preserve"> properties </w:t>
      </w:r>
      <w:r w:rsidRPr="004C4F6D">
        <w:rPr>
          <w:rFonts w:ascii="Arial" w:eastAsia="Arial Narrow" w:hAnsi="Arial" w:cs="Arial"/>
          <w:color w:val="000000"/>
          <w:lang w:eastAsia="en-PH"/>
        </w:rPr>
        <w:t xml:space="preserve">were </w:t>
      </w:r>
      <w:r w:rsidR="003919DE" w:rsidRPr="004C4F6D">
        <w:rPr>
          <w:rFonts w:ascii="Arial" w:eastAsia="Arial Narrow" w:hAnsi="Arial" w:cs="Arial"/>
          <w:color w:val="000000"/>
          <w:lang w:eastAsia="en-PH"/>
        </w:rPr>
        <w:t xml:space="preserve">requested </w:t>
      </w:r>
      <w:r w:rsidRPr="004C4F6D">
        <w:rPr>
          <w:rFonts w:ascii="Arial" w:eastAsia="Arial Narrow" w:hAnsi="Arial" w:cs="Arial"/>
          <w:color w:val="000000"/>
          <w:lang w:eastAsia="en-PH"/>
        </w:rPr>
        <w:t>from the</w:t>
      </w:r>
      <w:r w:rsidR="003919DE" w:rsidRPr="004C4F6D">
        <w:rPr>
          <w:rFonts w:ascii="Arial" w:eastAsia="Arial Narrow" w:hAnsi="Arial" w:cs="Arial"/>
          <w:color w:val="000000"/>
          <w:lang w:eastAsia="en-PH"/>
        </w:rPr>
        <w:t xml:space="preserve"> Department of Environment and Natural Resources</w:t>
      </w:r>
      <w:r w:rsidRPr="004C4F6D">
        <w:rPr>
          <w:rFonts w:ascii="Arial" w:eastAsia="Arial Narrow" w:hAnsi="Arial" w:cs="Arial"/>
          <w:color w:val="000000"/>
          <w:lang w:eastAsia="en-PH"/>
        </w:rPr>
        <w:t xml:space="preserve"> (DENR)</w:t>
      </w:r>
      <w:r w:rsidR="003919DE" w:rsidRPr="004C4F6D">
        <w:rPr>
          <w:rFonts w:ascii="Arial" w:eastAsia="Arial Narrow" w:hAnsi="Arial" w:cs="Arial"/>
          <w:color w:val="000000"/>
          <w:lang w:eastAsia="en-PH"/>
        </w:rPr>
        <w:t xml:space="preserve"> on 23 March 2022 but </w:t>
      </w:r>
      <w:r w:rsidRPr="004C4F6D">
        <w:rPr>
          <w:rFonts w:ascii="Arial" w:eastAsia="Arial Narrow" w:hAnsi="Arial" w:cs="Arial"/>
          <w:color w:val="000000"/>
          <w:lang w:eastAsia="en-PH"/>
        </w:rPr>
        <w:t xml:space="preserve">there was </w:t>
      </w:r>
      <w:r w:rsidR="003919DE" w:rsidRPr="004C4F6D">
        <w:rPr>
          <w:rFonts w:ascii="Arial" w:eastAsia="Arial Narrow" w:hAnsi="Arial" w:cs="Arial"/>
          <w:color w:val="000000"/>
          <w:lang w:eastAsia="en-PH"/>
        </w:rPr>
        <w:t>no records on file</w:t>
      </w:r>
      <w:r w:rsidRPr="004C4F6D">
        <w:rPr>
          <w:rFonts w:ascii="Arial" w:eastAsia="Arial Narrow" w:hAnsi="Arial" w:cs="Arial"/>
          <w:color w:val="000000"/>
          <w:lang w:eastAsia="en-PH"/>
        </w:rPr>
        <w:t xml:space="preserve"> with DENR</w:t>
      </w:r>
      <w:r w:rsidR="003919DE" w:rsidRPr="004C4F6D">
        <w:rPr>
          <w:rFonts w:ascii="Arial" w:eastAsia="Arial Narrow" w:hAnsi="Arial" w:cs="Arial"/>
          <w:color w:val="000000"/>
          <w:lang w:eastAsia="en-PH"/>
        </w:rPr>
        <w:t xml:space="preserve">. </w:t>
      </w:r>
      <w:r w:rsidR="00822BDD" w:rsidRPr="004C4F6D">
        <w:rPr>
          <w:rFonts w:ascii="Arial" w:eastAsia="Arial Narrow" w:hAnsi="Arial" w:cs="Arial"/>
          <w:color w:val="000000"/>
          <w:lang w:eastAsia="en-PH"/>
        </w:rPr>
        <w:t xml:space="preserve">Also, the </w:t>
      </w:r>
      <w:r w:rsidR="003919DE" w:rsidRPr="004C4F6D">
        <w:rPr>
          <w:rFonts w:ascii="Arial" w:eastAsia="Arial Narrow" w:hAnsi="Arial" w:cs="Arial"/>
          <w:color w:val="000000"/>
          <w:lang w:eastAsia="en-PH"/>
        </w:rPr>
        <w:t xml:space="preserve">Certificate of Non-coverage </w:t>
      </w:r>
      <w:r w:rsidR="00822BDD" w:rsidRPr="004C4F6D">
        <w:rPr>
          <w:rFonts w:ascii="Arial" w:eastAsia="Arial Narrow" w:hAnsi="Arial" w:cs="Arial"/>
          <w:color w:val="000000"/>
          <w:lang w:eastAsia="en-PH"/>
        </w:rPr>
        <w:t xml:space="preserve">was requested </w:t>
      </w:r>
      <w:r w:rsidR="003919DE" w:rsidRPr="004C4F6D">
        <w:rPr>
          <w:rFonts w:ascii="Arial" w:eastAsia="Arial Narrow" w:hAnsi="Arial" w:cs="Arial"/>
          <w:color w:val="000000"/>
          <w:lang w:eastAsia="en-PH"/>
        </w:rPr>
        <w:t>from Department of Agrarian Reform (DAR) to verify if included as CARP-able properties</w:t>
      </w:r>
      <w:r w:rsidR="00822BDD" w:rsidRPr="004C4F6D">
        <w:rPr>
          <w:rFonts w:ascii="Arial" w:eastAsia="Arial Narrow" w:hAnsi="Arial" w:cs="Arial"/>
          <w:color w:val="000000"/>
          <w:lang w:eastAsia="en-PH"/>
        </w:rPr>
        <w:t xml:space="preserve"> and</w:t>
      </w:r>
      <w:r w:rsidR="003919DE" w:rsidRPr="004C4F6D">
        <w:rPr>
          <w:rFonts w:ascii="Arial" w:eastAsia="Arial Narrow" w:hAnsi="Arial" w:cs="Arial"/>
          <w:color w:val="000000"/>
          <w:lang w:eastAsia="en-PH"/>
        </w:rPr>
        <w:t xml:space="preserve"> </w:t>
      </w:r>
      <w:r w:rsidR="00822BDD" w:rsidRPr="004C4F6D">
        <w:rPr>
          <w:rFonts w:ascii="Arial" w:eastAsia="Arial Narrow" w:hAnsi="Arial" w:cs="Arial"/>
          <w:color w:val="000000"/>
          <w:lang w:eastAsia="en-PH"/>
        </w:rPr>
        <w:t>a</w:t>
      </w:r>
      <w:r w:rsidR="003919DE" w:rsidRPr="004C4F6D">
        <w:rPr>
          <w:rFonts w:ascii="Arial" w:eastAsia="Arial Narrow" w:hAnsi="Arial" w:cs="Arial"/>
          <w:color w:val="000000"/>
          <w:lang w:eastAsia="en-PH"/>
        </w:rPr>
        <w:t>waiting reply from DAR.</w:t>
      </w:r>
    </w:p>
    <w:p w14:paraId="6DACA625" w14:textId="6DE90298" w:rsidR="00312FC6" w:rsidRPr="004C4F6D" w:rsidRDefault="00822BDD" w:rsidP="004C4F6D">
      <w:pPr>
        <w:pStyle w:val="ListParagraph"/>
        <w:numPr>
          <w:ilvl w:val="0"/>
          <w:numId w:val="21"/>
        </w:numPr>
        <w:spacing w:after="0" w:line="240" w:lineRule="auto"/>
        <w:ind w:left="1701"/>
        <w:jc w:val="both"/>
        <w:rPr>
          <w:rFonts w:ascii="Arial" w:eastAsia="Arial Narrow" w:hAnsi="Arial" w:cs="Arial"/>
          <w:lang w:eastAsia="en-PH"/>
        </w:rPr>
      </w:pPr>
      <w:r w:rsidRPr="004C4F6D">
        <w:rPr>
          <w:rFonts w:ascii="Arial" w:eastAsia="Arial Narrow" w:hAnsi="Arial" w:cs="Arial"/>
          <w:lang w:eastAsia="en-PH"/>
        </w:rPr>
        <w:t>One</w:t>
      </w:r>
      <w:r w:rsidR="003919DE" w:rsidRPr="004C4F6D">
        <w:rPr>
          <w:rFonts w:ascii="Arial" w:eastAsia="Arial Narrow" w:hAnsi="Arial" w:cs="Arial"/>
          <w:color w:val="000000"/>
          <w:lang w:eastAsia="en-PH"/>
        </w:rPr>
        <w:t xml:space="preserve"> property </w:t>
      </w:r>
      <w:r w:rsidRPr="004C4F6D">
        <w:rPr>
          <w:rFonts w:ascii="Arial" w:eastAsia="Arial Narrow" w:hAnsi="Arial" w:cs="Arial"/>
          <w:color w:val="000000"/>
          <w:lang w:eastAsia="en-PH"/>
        </w:rPr>
        <w:t xml:space="preserve">is </w:t>
      </w:r>
      <w:r w:rsidR="003919DE" w:rsidRPr="004C4F6D">
        <w:rPr>
          <w:rFonts w:ascii="Arial" w:eastAsia="Arial Narrow" w:hAnsi="Arial" w:cs="Arial"/>
          <w:color w:val="000000"/>
          <w:lang w:eastAsia="en-PH"/>
        </w:rPr>
        <w:t>for verification with Land Registration Authority (LRA) if the discrepancies can be traced back to the Original Survey plan or not</w:t>
      </w:r>
    </w:p>
    <w:p w14:paraId="136EC39E" w14:textId="51890D80" w:rsidR="00312FC6" w:rsidRDefault="00312FC6" w:rsidP="004C4F6D">
      <w:pPr>
        <w:spacing w:after="0" w:line="240" w:lineRule="auto"/>
        <w:ind w:left="621" w:right="140"/>
        <w:jc w:val="both"/>
        <w:rPr>
          <w:rFonts w:ascii="Arial" w:eastAsia="Arial Narrow" w:hAnsi="Arial" w:cs="Arial"/>
          <w:color w:val="000000"/>
          <w:lang w:eastAsia="en-PH"/>
        </w:rPr>
      </w:pPr>
    </w:p>
    <w:p w14:paraId="11D7D63F" w14:textId="401C1C5E" w:rsidR="00E1689F" w:rsidRDefault="00E1689F" w:rsidP="004C4F6D">
      <w:pPr>
        <w:spacing w:after="0" w:line="240" w:lineRule="auto"/>
        <w:ind w:left="621" w:right="140"/>
        <w:jc w:val="both"/>
        <w:rPr>
          <w:rFonts w:ascii="Arial" w:eastAsia="Arial Narrow" w:hAnsi="Arial" w:cs="Arial"/>
          <w:color w:val="000000"/>
          <w:lang w:eastAsia="en-PH"/>
        </w:rPr>
      </w:pPr>
    </w:p>
    <w:p w14:paraId="11792761" w14:textId="6A4CF6F3" w:rsidR="00E1689F" w:rsidRDefault="00E1689F" w:rsidP="004C4F6D">
      <w:pPr>
        <w:spacing w:after="0" w:line="240" w:lineRule="auto"/>
        <w:ind w:left="621" w:right="140"/>
        <w:jc w:val="both"/>
        <w:rPr>
          <w:rFonts w:ascii="Arial" w:eastAsia="Arial Narrow" w:hAnsi="Arial" w:cs="Arial"/>
          <w:color w:val="000000"/>
          <w:lang w:eastAsia="en-PH"/>
        </w:rPr>
      </w:pPr>
    </w:p>
    <w:p w14:paraId="25AAA5F1" w14:textId="77777777" w:rsidR="00E1689F" w:rsidRPr="004C4F6D" w:rsidRDefault="00E1689F" w:rsidP="004C4F6D">
      <w:pPr>
        <w:spacing w:after="0" w:line="240" w:lineRule="auto"/>
        <w:ind w:left="621" w:right="140"/>
        <w:jc w:val="both"/>
        <w:rPr>
          <w:rFonts w:ascii="Arial" w:eastAsia="Arial Narrow" w:hAnsi="Arial" w:cs="Arial"/>
          <w:color w:val="000000"/>
          <w:lang w:eastAsia="en-PH"/>
        </w:rPr>
      </w:pPr>
    </w:p>
    <w:p w14:paraId="1B5346B6" w14:textId="77777777" w:rsidR="00312FC6" w:rsidRPr="004C4F6D" w:rsidRDefault="003919DE" w:rsidP="004C4F6D">
      <w:pPr>
        <w:pStyle w:val="ListParagraph"/>
        <w:numPr>
          <w:ilvl w:val="0"/>
          <w:numId w:val="20"/>
        </w:numPr>
        <w:spacing w:after="0" w:line="240" w:lineRule="auto"/>
        <w:ind w:right="140" w:hanging="544"/>
        <w:jc w:val="both"/>
        <w:rPr>
          <w:rFonts w:ascii="Arial" w:eastAsia="Arial Narrow" w:hAnsi="Arial" w:cs="Arial"/>
          <w:color w:val="000000"/>
          <w:lang w:eastAsia="en-PH"/>
        </w:rPr>
      </w:pPr>
      <w:r w:rsidRPr="004C4F6D">
        <w:rPr>
          <w:rFonts w:ascii="Arial" w:eastAsia="Arial Narrow" w:hAnsi="Arial" w:cs="Arial"/>
          <w:color w:val="000000"/>
          <w:lang w:eastAsia="en-PH"/>
        </w:rPr>
        <w:lastRenderedPageBreak/>
        <w:t>Location and safety issues.</w:t>
      </w:r>
    </w:p>
    <w:p w14:paraId="64CC8470" w14:textId="77777777" w:rsidR="00312FC6" w:rsidRPr="004C4F6D" w:rsidRDefault="00312FC6" w:rsidP="004C4F6D">
      <w:pPr>
        <w:spacing w:after="0" w:line="240" w:lineRule="auto"/>
        <w:ind w:left="621" w:right="140"/>
        <w:jc w:val="both"/>
        <w:rPr>
          <w:rFonts w:ascii="Arial" w:eastAsia="Arial Narrow" w:hAnsi="Arial" w:cs="Arial"/>
          <w:color w:val="000000"/>
          <w:lang w:eastAsia="en-PH"/>
        </w:rPr>
      </w:pPr>
    </w:p>
    <w:p w14:paraId="1501B21A" w14:textId="1F156301" w:rsidR="00312FC6" w:rsidRPr="004C4F6D" w:rsidRDefault="003919DE" w:rsidP="004C4F6D">
      <w:pPr>
        <w:spacing w:after="0" w:line="240" w:lineRule="auto"/>
        <w:ind w:left="1276"/>
        <w:jc w:val="both"/>
        <w:rPr>
          <w:rFonts w:ascii="Arial" w:eastAsia="Arial Narrow" w:hAnsi="Arial" w:cs="Arial"/>
          <w:color w:val="000000"/>
          <w:lang w:eastAsia="en-PH"/>
        </w:rPr>
      </w:pPr>
      <w:r w:rsidRPr="004C4F6D">
        <w:rPr>
          <w:rFonts w:ascii="Arial" w:eastAsia="Arial Narrow" w:hAnsi="Arial" w:cs="Arial"/>
          <w:color w:val="000000"/>
          <w:lang w:eastAsia="en-PH"/>
        </w:rPr>
        <w:t>Properties could not be appraised since the properties are located in “areas of concern” or with peace and order, hostile environment or security issues. Pursuant to the audit observation on absence of appraisal reports, SPAD proposed to amend the guidelines on valuation of properties that could not be appraised for the longest time since these are located in “areas of concern”</w:t>
      </w:r>
      <w:r w:rsidR="00CE44BD" w:rsidRPr="004C4F6D">
        <w:rPr>
          <w:rFonts w:ascii="Arial" w:eastAsia="Arial Narrow" w:hAnsi="Arial" w:cs="Arial"/>
          <w:color w:val="000000"/>
          <w:lang w:eastAsia="en-PH"/>
        </w:rPr>
        <w:t>.</w:t>
      </w:r>
      <w:r w:rsidRPr="004C4F6D">
        <w:rPr>
          <w:rFonts w:ascii="Arial" w:eastAsia="Arial Narrow" w:hAnsi="Arial" w:cs="Arial"/>
          <w:color w:val="000000"/>
          <w:lang w:eastAsia="en-PH"/>
        </w:rPr>
        <w:t xml:space="preserve">  In the absence of an updated appraisal report, SPAD proposed, after consultation with various units of the Bank, that the basis of valuation shall be the highest of the following: 1) Net Book Value; 2) BIR Zonal Valuation; c) Fair Market Value (FMV) based on the latest tax declaration; and, latest Appraised Value on file. The proposed guideline was already presented to the HOCAD on 28 April 2023 subject to revisions and re-presentation.</w:t>
      </w:r>
    </w:p>
    <w:p w14:paraId="7D1A5B1F" w14:textId="77777777" w:rsidR="00312FC6" w:rsidRPr="004C4F6D" w:rsidRDefault="00312FC6" w:rsidP="004C4F6D">
      <w:pPr>
        <w:spacing w:after="0" w:line="240" w:lineRule="auto"/>
        <w:ind w:left="195" w:right="140"/>
        <w:jc w:val="both"/>
        <w:rPr>
          <w:rFonts w:ascii="Arial" w:eastAsia="Arial Narrow" w:hAnsi="Arial" w:cs="Arial"/>
          <w:color w:val="000000"/>
          <w:lang w:eastAsia="en-PH"/>
        </w:rPr>
      </w:pPr>
    </w:p>
    <w:p w14:paraId="2DC8FBA6" w14:textId="51B78257" w:rsidR="00312FC6" w:rsidRPr="004C4F6D" w:rsidRDefault="005F4C4B"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lang w:eastAsia="en-PH"/>
        </w:rPr>
      </w:pPr>
      <w:r w:rsidRPr="004C4F6D">
        <w:rPr>
          <w:rFonts w:ascii="Arial" w:eastAsia="Arial Narrow" w:hAnsi="Arial" w:cs="Arial"/>
          <w:color w:val="000000"/>
          <w:lang w:eastAsia="en-PH"/>
        </w:rPr>
        <w:t xml:space="preserve">It was </w:t>
      </w:r>
      <w:r w:rsidR="003919DE" w:rsidRPr="004C4F6D">
        <w:rPr>
          <w:rFonts w:ascii="Arial" w:eastAsia="Arial Narrow" w:hAnsi="Arial" w:cs="Arial"/>
          <w:color w:val="000000"/>
          <w:lang w:eastAsia="en-PH"/>
        </w:rPr>
        <w:t xml:space="preserve">also gathered that the appraisal of ROPA commences upon the receipt of request of SPAD with complete supporting documents. Management averred that all requests are acted and appraisal reports are immediately submitted to SPAD after its completion. </w:t>
      </w:r>
      <w:r w:rsidR="00A51994" w:rsidRPr="004C4F6D">
        <w:rPr>
          <w:rFonts w:ascii="Arial" w:eastAsia="Arial Narrow" w:hAnsi="Arial" w:cs="Arial"/>
          <w:color w:val="000000"/>
          <w:lang w:eastAsia="en-PH"/>
        </w:rPr>
        <w:t>It was noted</w:t>
      </w:r>
      <w:r w:rsidR="003919DE" w:rsidRPr="004C4F6D">
        <w:rPr>
          <w:rFonts w:ascii="Arial" w:eastAsia="Arial Narrow" w:hAnsi="Arial" w:cs="Arial"/>
          <w:color w:val="000000"/>
          <w:lang w:eastAsia="en-PH"/>
        </w:rPr>
        <w:t>, however, that there are no prescribed timelines</w:t>
      </w:r>
      <w:r w:rsidR="00444134" w:rsidRPr="004C4F6D">
        <w:rPr>
          <w:rFonts w:ascii="Arial" w:eastAsia="Arial Narrow" w:hAnsi="Arial" w:cs="Arial"/>
          <w:color w:val="000000"/>
          <w:lang w:eastAsia="en-PH"/>
        </w:rPr>
        <w:t xml:space="preserve"> set</w:t>
      </w:r>
      <w:r w:rsidR="003919DE" w:rsidRPr="004C4F6D">
        <w:rPr>
          <w:rFonts w:ascii="Arial" w:eastAsia="Arial Narrow" w:hAnsi="Arial" w:cs="Arial"/>
          <w:color w:val="000000"/>
          <w:lang w:eastAsia="en-PH"/>
        </w:rPr>
        <w:t xml:space="preserve"> from </w:t>
      </w:r>
      <w:r w:rsidR="00444134" w:rsidRPr="004C4F6D">
        <w:rPr>
          <w:rFonts w:ascii="Arial" w:eastAsia="Arial Narrow" w:hAnsi="Arial" w:cs="Arial"/>
          <w:color w:val="000000"/>
          <w:lang w:eastAsia="en-PH"/>
        </w:rPr>
        <w:t xml:space="preserve">the </w:t>
      </w:r>
      <w:r w:rsidR="003919DE" w:rsidRPr="004C4F6D">
        <w:rPr>
          <w:rFonts w:ascii="Arial" w:eastAsia="Arial Narrow" w:hAnsi="Arial" w:cs="Arial"/>
          <w:color w:val="000000"/>
          <w:lang w:eastAsia="en-PH"/>
        </w:rPr>
        <w:t xml:space="preserve">receipt of request of appraisal to </w:t>
      </w:r>
      <w:r w:rsidR="009833F7" w:rsidRPr="004C4F6D">
        <w:rPr>
          <w:rFonts w:ascii="Arial" w:eastAsia="Arial Narrow" w:hAnsi="Arial" w:cs="Arial"/>
          <w:color w:val="000000"/>
          <w:lang w:eastAsia="en-PH"/>
        </w:rPr>
        <w:t xml:space="preserve">the </w:t>
      </w:r>
      <w:r w:rsidR="003919DE" w:rsidRPr="004C4F6D">
        <w:rPr>
          <w:rFonts w:ascii="Arial" w:eastAsia="Arial Narrow" w:hAnsi="Arial" w:cs="Arial"/>
          <w:color w:val="000000"/>
          <w:lang w:eastAsia="en-PH"/>
        </w:rPr>
        <w:t>conduct of appraisal and preparation of appraisal reports.</w:t>
      </w:r>
    </w:p>
    <w:p w14:paraId="126AEB52" w14:textId="77777777" w:rsidR="00312FC6" w:rsidRPr="004C4F6D" w:rsidRDefault="00312FC6" w:rsidP="004C4F6D">
      <w:pPr>
        <w:pStyle w:val="ListParagraph"/>
        <w:spacing w:after="0" w:line="240" w:lineRule="auto"/>
        <w:rPr>
          <w:rFonts w:ascii="Arial" w:eastAsia="Arial Narrow" w:hAnsi="Arial" w:cs="Arial"/>
          <w:lang w:eastAsia="en-PH"/>
        </w:rPr>
      </w:pPr>
    </w:p>
    <w:p w14:paraId="2AD25E5D" w14:textId="76073CBE"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The</w:t>
      </w:r>
      <w:r w:rsidRPr="004C4F6D">
        <w:rPr>
          <w:rFonts w:ascii="Arial" w:eastAsia="Arial Narrow" w:hAnsi="Arial" w:cs="Arial"/>
          <w:color w:val="000000"/>
          <w:lang w:eastAsia="en-PH"/>
        </w:rPr>
        <w:t xml:space="preserve"> </w:t>
      </w:r>
      <w:r w:rsidR="009833F7" w:rsidRPr="004C4F6D">
        <w:rPr>
          <w:rFonts w:ascii="Arial" w:eastAsia="Arial Narrow" w:hAnsi="Arial" w:cs="Arial"/>
          <w:color w:val="000000"/>
          <w:lang w:eastAsia="en-PH"/>
        </w:rPr>
        <w:t xml:space="preserve">absence of appraisal </w:t>
      </w:r>
      <w:r w:rsidR="0042132B" w:rsidRPr="004C4F6D">
        <w:rPr>
          <w:rFonts w:ascii="Arial" w:eastAsia="Arial Narrow" w:hAnsi="Arial" w:cs="Arial"/>
          <w:color w:val="000000"/>
          <w:lang w:eastAsia="en-PH"/>
        </w:rPr>
        <w:t xml:space="preserve">on required frequency </w:t>
      </w:r>
      <w:r w:rsidR="003D1186" w:rsidRPr="004C4F6D">
        <w:rPr>
          <w:rFonts w:ascii="Arial" w:eastAsia="Arial Narrow" w:hAnsi="Arial" w:cs="Arial"/>
          <w:color w:val="000000"/>
          <w:lang w:eastAsia="en-PH"/>
        </w:rPr>
        <w:t>and</w:t>
      </w:r>
      <w:r w:rsidR="009833F7" w:rsidRPr="004C4F6D">
        <w:rPr>
          <w:rFonts w:ascii="Arial" w:eastAsia="Arial Narrow" w:hAnsi="Arial" w:cs="Arial"/>
          <w:color w:val="000000"/>
          <w:lang w:eastAsia="en-PH"/>
        </w:rPr>
        <w:t xml:space="preserve"> delay in </w:t>
      </w:r>
      <w:r w:rsidRPr="004C4F6D">
        <w:rPr>
          <w:rFonts w:ascii="Arial" w:eastAsia="Arial Narrow" w:hAnsi="Arial" w:cs="Arial"/>
          <w:color w:val="000000"/>
          <w:lang w:eastAsia="en-PH"/>
        </w:rPr>
        <w:t xml:space="preserve">updating of appraisal details in the ROPA </w:t>
      </w:r>
      <w:r w:rsidRPr="004C4F6D">
        <w:rPr>
          <w:rFonts w:ascii="Arial" w:eastAsia="Arial Narrow" w:hAnsi="Arial" w:cs="Arial"/>
          <w:lang w:eastAsia="en-PH"/>
        </w:rPr>
        <w:t>MS</w:t>
      </w:r>
      <w:r w:rsidRPr="004C4F6D">
        <w:rPr>
          <w:rFonts w:ascii="Arial" w:eastAsia="Arial Narrow" w:hAnsi="Arial" w:cs="Arial"/>
          <w:color w:val="000000"/>
          <w:lang w:eastAsia="en-PH"/>
        </w:rPr>
        <w:t>,</w:t>
      </w:r>
      <w:r w:rsidR="003D1186" w:rsidRPr="004C4F6D">
        <w:rPr>
          <w:rFonts w:ascii="Arial" w:eastAsia="Arial Narrow" w:hAnsi="Arial" w:cs="Arial"/>
          <w:color w:val="000000"/>
          <w:lang w:eastAsia="en-PH"/>
        </w:rPr>
        <w:t xml:space="preserve"> </w:t>
      </w:r>
      <w:r w:rsidR="0042132B" w:rsidRPr="004C4F6D">
        <w:rPr>
          <w:rFonts w:ascii="Arial" w:eastAsia="Arial Narrow" w:hAnsi="Arial" w:cs="Arial"/>
          <w:color w:val="000000"/>
          <w:lang w:eastAsia="en-PH"/>
        </w:rPr>
        <w:t>a</w:t>
      </w:r>
      <w:r w:rsidR="003D1186" w:rsidRPr="004C4F6D">
        <w:rPr>
          <w:rFonts w:ascii="Arial" w:eastAsia="Arial Narrow" w:hAnsi="Arial" w:cs="Arial"/>
          <w:color w:val="000000"/>
          <w:lang w:eastAsia="en-PH"/>
        </w:rPr>
        <w:t>ffect the</w:t>
      </w:r>
      <w:r w:rsidRPr="004C4F6D">
        <w:rPr>
          <w:rFonts w:ascii="Arial" w:eastAsia="Arial Narrow" w:hAnsi="Arial" w:cs="Arial"/>
          <w:color w:val="000000"/>
          <w:lang w:eastAsia="en-PH"/>
        </w:rPr>
        <w:t xml:space="preserve"> </w:t>
      </w:r>
      <w:r w:rsidR="0042132B" w:rsidRPr="004C4F6D">
        <w:rPr>
          <w:rFonts w:ascii="Arial" w:eastAsia="Arial Narrow" w:hAnsi="Arial" w:cs="Arial"/>
          <w:color w:val="000000"/>
          <w:lang w:eastAsia="en-PH"/>
        </w:rPr>
        <w:t xml:space="preserve">proper </w:t>
      </w:r>
      <w:r w:rsidRPr="004C4F6D">
        <w:rPr>
          <w:rFonts w:ascii="Arial" w:eastAsia="Arial Narrow" w:hAnsi="Arial" w:cs="Arial"/>
          <w:color w:val="000000"/>
          <w:lang w:eastAsia="en-PH"/>
        </w:rPr>
        <w:t xml:space="preserve">valuation of </w:t>
      </w:r>
      <w:r w:rsidR="008219E5" w:rsidRPr="004C4F6D">
        <w:rPr>
          <w:rFonts w:ascii="Arial" w:eastAsia="Arial Narrow" w:hAnsi="Arial" w:cs="Arial"/>
          <w:color w:val="000000"/>
          <w:lang w:eastAsia="en-PH"/>
        </w:rPr>
        <w:t>ROPA and</w:t>
      </w:r>
      <w:r w:rsidRPr="004C4F6D">
        <w:rPr>
          <w:rFonts w:ascii="Arial" w:eastAsia="Arial Narrow" w:hAnsi="Arial" w:cs="Arial"/>
          <w:color w:val="000000"/>
          <w:lang w:eastAsia="en-PH"/>
        </w:rPr>
        <w:t xml:space="preserve"> defeat the purpose of the ROPA MS </w:t>
      </w:r>
      <w:r w:rsidR="0042132B" w:rsidRPr="004C4F6D">
        <w:rPr>
          <w:rFonts w:ascii="Arial" w:eastAsia="Arial Narrow" w:hAnsi="Arial" w:cs="Arial"/>
          <w:color w:val="000000"/>
          <w:lang w:eastAsia="en-PH"/>
        </w:rPr>
        <w:t xml:space="preserve">in </w:t>
      </w:r>
      <w:r w:rsidRPr="004C4F6D">
        <w:rPr>
          <w:rFonts w:ascii="Arial" w:eastAsia="Arial Narrow" w:hAnsi="Arial" w:cs="Arial"/>
          <w:color w:val="000000"/>
          <w:lang w:eastAsia="en-PH"/>
        </w:rPr>
        <w:t>provid</w:t>
      </w:r>
      <w:r w:rsidR="0042132B" w:rsidRPr="004C4F6D">
        <w:rPr>
          <w:rFonts w:ascii="Arial" w:eastAsia="Arial Narrow" w:hAnsi="Arial" w:cs="Arial"/>
          <w:color w:val="000000"/>
          <w:lang w:eastAsia="en-PH"/>
        </w:rPr>
        <w:t>ing</w:t>
      </w:r>
      <w:r w:rsidRPr="004C4F6D">
        <w:rPr>
          <w:rFonts w:ascii="Arial" w:eastAsia="Arial Narrow" w:hAnsi="Arial" w:cs="Arial"/>
          <w:color w:val="000000"/>
          <w:lang w:eastAsia="en-PH"/>
        </w:rPr>
        <w:t xml:space="preserve"> centralized data, efficient</w:t>
      </w:r>
      <w:r w:rsidR="0042132B" w:rsidRPr="004C4F6D">
        <w:rPr>
          <w:rFonts w:ascii="Arial" w:eastAsia="Arial Narrow" w:hAnsi="Arial" w:cs="Arial"/>
          <w:color w:val="000000"/>
          <w:lang w:eastAsia="en-PH"/>
        </w:rPr>
        <w:t>ly</w:t>
      </w:r>
      <w:r w:rsidRPr="004C4F6D">
        <w:rPr>
          <w:rFonts w:ascii="Arial" w:eastAsia="Arial Narrow" w:hAnsi="Arial" w:cs="Arial"/>
          <w:color w:val="000000"/>
          <w:lang w:eastAsia="en-PH"/>
        </w:rPr>
        <w:t xml:space="preserve"> monitoring of properties, </w:t>
      </w:r>
      <w:r w:rsidR="0042132B" w:rsidRPr="004C4F6D">
        <w:rPr>
          <w:rFonts w:ascii="Arial" w:eastAsia="Arial Narrow" w:hAnsi="Arial" w:cs="Arial"/>
          <w:color w:val="000000"/>
          <w:lang w:eastAsia="en-PH"/>
        </w:rPr>
        <w:t xml:space="preserve">and </w:t>
      </w:r>
      <w:r w:rsidRPr="004C4F6D">
        <w:rPr>
          <w:rFonts w:ascii="Arial" w:eastAsia="Arial Narrow" w:hAnsi="Arial" w:cs="Arial"/>
          <w:color w:val="000000"/>
          <w:lang w:eastAsia="en-PH"/>
        </w:rPr>
        <w:t>generat</w:t>
      </w:r>
      <w:r w:rsidR="0042132B" w:rsidRPr="004C4F6D">
        <w:rPr>
          <w:rFonts w:ascii="Arial" w:eastAsia="Arial Narrow" w:hAnsi="Arial" w:cs="Arial"/>
          <w:color w:val="000000"/>
          <w:lang w:eastAsia="en-PH"/>
        </w:rPr>
        <w:t>ing</w:t>
      </w:r>
      <w:r w:rsidRPr="004C4F6D">
        <w:rPr>
          <w:rFonts w:ascii="Arial" w:eastAsia="Arial Narrow" w:hAnsi="Arial" w:cs="Arial"/>
          <w:color w:val="000000"/>
          <w:lang w:eastAsia="en-PH"/>
        </w:rPr>
        <w:t xml:space="preserve"> timely and </w:t>
      </w:r>
      <w:r w:rsidR="008219E5" w:rsidRPr="004C4F6D">
        <w:rPr>
          <w:rFonts w:ascii="Arial" w:eastAsia="Arial Narrow" w:hAnsi="Arial" w:cs="Arial"/>
          <w:color w:val="000000"/>
          <w:lang w:eastAsia="en-PH"/>
        </w:rPr>
        <w:t>accurate.</w:t>
      </w:r>
    </w:p>
    <w:p w14:paraId="637AEAC1" w14:textId="77777777" w:rsidR="00312FC6" w:rsidRPr="004C4F6D" w:rsidRDefault="00312FC6" w:rsidP="004C4F6D">
      <w:pPr>
        <w:pStyle w:val="ListParagraph"/>
        <w:rPr>
          <w:rFonts w:ascii="Arial" w:eastAsia="Arial Narrow" w:hAnsi="Arial" w:cs="Arial"/>
          <w:b/>
          <w:color w:val="000000"/>
          <w:lang w:eastAsia="en-PH"/>
        </w:rPr>
      </w:pPr>
    </w:p>
    <w:p w14:paraId="7D8CC733" w14:textId="222D4B74"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lang w:eastAsia="en-PH"/>
        </w:rPr>
      </w:pPr>
      <w:r w:rsidRPr="004C4F6D">
        <w:rPr>
          <w:rFonts w:ascii="Arial" w:eastAsia="Arial Narrow" w:hAnsi="Arial" w:cs="Arial"/>
          <w:b/>
          <w:color w:val="000000"/>
          <w:lang w:eastAsia="en-PH"/>
        </w:rPr>
        <w:t>We recommended and Management agreed</w:t>
      </w:r>
      <w:r w:rsidR="006328F7" w:rsidRPr="004C4F6D">
        <w:rPr>
          <w:rFonts w:ascii="Arial" w:eastAsia="Arial Narrow" w:hAnsi="Arial" w:cs="Arial"/>
          <w:b/>
          <w:color w:val="000000"/>
          <w:lang w:eastAsia="en-PH"/>
        </w:rPr>
        <w:t xml:space="preserve"> </w:t>
      </w:r>
      <w:r w:rsidR="0023413C" w:rsidRPr="004C4F6D">
        <w:rPr>
          <w:rFonts w:ascii="Arial" w:eastAsia="Arial Narrow" w:hAnsi="Arial" w:cs="Arial"/>
          <w:b/>
          <w:color w:val="000000"/>
          <w:lang w:eastAsia="en-PH"/>
        </w:rPr>
        <w:t>to</w:t>
      </w:r>
      <w:r w:rsidRPr="004C4F6D">
        <w:rPr>
          <w:rFonts w:ascii="Arial" w:eastAsia="Arial Narrow" w:hAnsi="Arial" w:cs="Arial"/>
          <w:b/>
          <w:color w:val="000000"/>
          <w:lang w:eastAsia="en-PH"/>
        </w:rPr>
        <w:t>:</w:t>
      </w:r>
    </w:p>
    <w:p w14:paraId="1CC2EE9C" w14:textId="77777777" w:rsidR="00312FC6" w:rsidRPr="004C4F6D" w:rsidRDefault="00312FC6" w:rsidP="004C4F6D">
      <w:pPr>
        <w:pStyle w:val="ListParagraph"/>
        <w:autoSpaceDE w:val="0"/>
        <w:autoSpaceDN w:val="0"/>
        <w:adjustRightInd w:val="0"/>
        <w:spacing w:after="0" w:line="240" w:lineRule="auto"/>
        <w:ind w:left="0"/>
        <w:jc w:val="both"/>
        <w:rPr>
          <w:rFonts w:ascii="Arial" w:eastAsia="Arial Narrow" w:hAnsi="Arial" w:cs="Arial"/>
          <w:b/>
          <w:lang w:eastAsia="en-PH"/>
        </w:rPr>
      </w:pPr>
    </w:p>
    <w:p w14:paraId="21184DEE" w14:textId="6ED05DA3" w:rsidR="008B3432" w:rsidRPr="004C4F6D" w:rsidRDefault="00F765F7" w:rsidP="004C4F6D">
      <w:pPr>
        <w:pStyle w:val="ListParagraph"/>
        <w:numPr>
          <w:ilvl w:val="1"/>
          <w:numId w:val="12"/>
        </w:numPr>
        <w:spacing w:after="0" w:line="240" w:lineRule="auto"/>
        <w:ind w:left="709" w:firstLine="0"/>
        <w:jc w:val="both"/>
        <w:rPr>
          <w:rFonts w:ascii="Arial" w:eastAsia="Arial" w:hAnsi="Arial" w:cs="Arial"/>
          <w:b/>
          <w:color w:val="000000"/>
          <w:lang w:eastAsia="en-PH"/>
        </w:rPr>
      </w:pPr>
      <w:r w:rsidRPr="004C4F6D">
        <w:rPr>
          <w:rFonts w:ascii="Arial" w:eastAsia="Arial" w:hAnsi="Arial" w:cs="Arial"/>
          <w:b/>
          <w:color w:val="000000"/>
          <w:lang w:eastAsia="en-PH"/>
        </w:rPr>
        <w:t xml:space="preserve"> </w:t>
      </w:r>
      <w:r w:rsidR="0042132B" w:rsidRPr="004C4F6D">
        <w:rPr>
          <w:rFonts w:ascii="Arial" w:eastAsia="Arial" w:hAnsi="Arial" w:cs="Arial"/>
          <w:b/>
          <w:color w:val="000000"/>
          <w:lang w:eastAsia="en-PH"/>
        </w:rPr>
        <w:t>consider the prioritization of request for appraisal taking into consideration factors such as, but not limited to, nature/type of property in terms of exposure to deterioration, chances of the Bank for immediate recovery of losses from disposal of properties that afford the Bank the greatest opportunity for maximum returns/benefits. Correspondingly, include in the SPAD Operational Manual, the criteria and procedures for prioritization of request for appraisal of properties for consistency of its application.</w:t>
      </w:r>
    </w:p>
    <w:p w14:paraId="76AEA690" w14:textId="77777777" w:rsidR="0042132B" w:rsidRPr="004C4F6D" w:rsidRDefault="0042132B" w:rsidP="004C4F6D">
      <w:pPr>
        <w:spacing w:after="0" w:line="240" w:lineRule="auto"/>
        <w:jc w:val="both"/>
        <w:rPr>
          <w:rFonts w:ascii="Arial" w:eastAsia="Arial" w:hAnsi="Arial" w:cs="Arial"/>
          <w:b/>
          <w:color w:val="000000"/>
          <w:lang w:eastAsia="en-PH"/>
        </w:rPr>
      </w:pPr>
    </w:p>
    <w:p w14:paraId="5AEE4F5C" w14:textId="5AD836DB" w:rsidR="00312FC6" w:rsidRPr="004C4F6D" w:rsidRDefault="00F765F7" w:rsidP="004C4F6D">
      <w:pPr>
        <w:pStyle w:val="ListParagraph"/>
        <w:numPr>
          <w:ilvl w:val="1"/>
          <w:numId w:val="12"/>
        </w:numPr>
        <w:spacing w:after="0" w:line="240" w:lineRule="auto"/>
        <w:ind w:left="709" w:firstLine="0"/>
        <w:jc w:val="both"/>
        <w:rPr>
          <w:rFonts w:ascii="Arial" w:eastAsia="Arial" w:hAnsi="Arial" w:cs="Arial"/>
          <w:color w:val="000000"/>
          <w:lang w:eastAsia="en-PH"/>
        </w:rPr>
      </w:pPr>
      <w:r w:rsidRPr="004C4F6D">
        <w:rPr>
          <w:rFonts w:ascii="Arial" w:eastAsia="Arial" w:hAnsi="Arial" w:cs="Arial"/>
          <w:b/>
          <w:lang w:eastAsia="en-PH"/>
        </w:rPr>
        <w:t>f</w:t>
      </w:r>
      <w:r w:rsidR="003919DE" w:rsidRPr="004C4F6D">
        <w:rPr>
          <w:rFonts w:ascii="Arial" w:eastAsia="Arial" w:hAnsi="Arial" w:cs="Arial"/>
          <w:b/>
          <w:lang w:eastAsia="en-PH"/>
        </w:rPr>
        <w:t xml:space="preserve">acilitate timely appraisals, consider setting and including in Bank guidelines specific/mandatory timelines within which to reasonably complete the process from receipt of request of appraisal to conduct of appraisal, and to the preparation of appraisal reports by PVCID and AOCs; </w:t>
      </w:r>
    </w:p>
    <w:p w14:paraId="03676494" w14:textId="77777777" w:rsidR="00312FC6" w:rsidRPr="004C4F6D" w:rsidRDefault="00312FC6" w:rsidP="004C4F6D">
      <w:pPr>
        <w:pStyle w:val="ListParagraph"/>
        <w:spacing w:after="0" w:line="240" w:lineRule="auto"/>
        <w:rPr>
          <w:rFonts w:ascii="Arial" w:eastAsia="Arial" w:hAnsi="Arial" w:cs="Arial"/>
          <w:b/>
          <w:color w:val="000000"/>
          <w:lang w:eastAsia="en-PH"/>
        </w:rPr>
      </w:pPr>
    </w:p>
    <w:p w14:paraId="308A2150" w14:textId="33BD64D3" w:rsidR="00312FC6" w:rsidRPr="004C4F6D" w:rsidRDefault="003919DE" w:rsidP="004C4F6D">
      <w:pPr>
        <w:pStyle w:val="ListParagraph"/>
        <w:numPr>
          <w:ilvl w:val="1"/>
          <w:numId w:val="12"/>
        </w:numPr>
        <w:spacing w:after="0" w:line="240" w:lineRule="auto"/>
        <w:ind w:left="709" w:firstLine="0"/>
        <w:jc w:val="both"/>
        <w:rPr>
          <w:rFonts w:ascii="Arial" w:eastAsia="Arial" w:hAnsi="Arial" w:cs="Arial"/>
          <w:color w:val="000000"/>
          <w:lang w:eastAsia="en-PH"/>
        </w:rPr>
      </w:pPr>
      <w:r w:rsidRPr="004C4F6D">
        <w:rPr>
          <w:rFonts w:ascii="Arial" w:eastAsia="Arial" w:hAnsi="Arial" w:cs="Arial"/>
          <w:b/>
          <w:color w:val="000000"/>
          <w:lang w:eastAsia="en-PH"/>
        </w:rPr>
        <w:t xml:space="preserve">expedite verifications with concerned agencies and back-tracing of discrepancies </w:t>
      </w:r>
      <w:r w:rsidR="0042132B" w:rsidRPr="004C4F6D">
        <w:rPr>
          <w:rFonts w:ascii="Arial" w:eastAsia="Arial" w:hAnsi="Arial" w:cs="Arial"/>
          <w:b/>
          <w:color w:val="000000"/>
          <w:lang w:eastAsia="en-PH"/>
        </w:rPr>
        <w:t xml:space="preserve">of properties that are still unlocated, </w:t>
      </w:r>
      <w:r w:rsidRPr="004C4F6D">
        <w:rPr>
          <w:rFonts w:ascii="Arial" w:eastAsia="Arial" w:hAnsi="Arial" w:cs="Arial"/>
          <w:b/>
          <w:color w:val="000000"/>
          <w:lang w:eastAsia="en-PH"/>
        </w:rPr>
        <w:t xml:space="preserve">to enable the Bank to employ appropriate disposition, undertake legal remedies and hold persons responsible </w:t>
      </w:r>
      <w:r w:rsidR="0042132B" w:rsidRPr="004C4F6D">
        <w:rPr>
          <w:rFonts w:ascii="Arial" w:eastAsia="Arial" w:hAnsi="Arial" w:cs="Arial"/>
          <w:b/>
          <w:color w:val="000000"/>
          <w:lang w:eastAsia="en-PH"/>
        </w:rPr>
        <w:t xml:space="preserve">or </w:t>
      </w:r>
      <w:r w:rsidRPr="004C4F6D">
        <w:rPr>
          <w:rFonts w:ascii="Arial" w:eastAsia="Arial" w:hAnsi="Arial" w:cs="Arial"/>
          <w:b/>
          <w:color w:val="000000"/>
          <w:lang w:eastAsia="en-PH"/>
        </w:rPr>
        <w:t>accountable for losses, if warranted;</w:t>
      </w:r>
    </w:p>
    <w:p w14:paraId="3E2CBF99" w14:textId="45E06694" w:rsidR="00312FC6" w:rsidRPr="004C4F6D" w:rsidRDefault="007D095C" w:rsidP="004C4F6D">
      <w:pPr>
        <w:pStyle w:val="ListParagraph"/>
        <w:tabs>
          <w:tab w:val="left" w:pos="5270"/>
        </w:tabs>
        <w:spacing w:after="0" w:line="240" w:lineRule="auto"/>
        <w:rPr>
          <w:rFonts w:ascii="Arial" w:eastAsia="Arial" w:hAnsi="Arial" w:cs="Arial"/>
          <w:b/>
          <w:color w:val="000000"/>
          <w:lang w:eastAsia="en-PH"/>
        </w:rPr>
      </w:pPr>
      <w:r w:rsidRPr="004C4F6D">
        <w:rPr>
          <w:rFonts w:ascii="Arial" w:eastAsia="Arial" w:hAnsi="Arial" w:cs="Arial"/>
          <w:b/>
          <w:color w:val="000000"/>
          <w:lang w:eastAsia="en-PH"/>
        </w:rPr>
        <w:tab/>
      </w:r>
    </w:p>
    <w:p w14:paraId="55BF19A3" w14:textId="234D26AD" w:rsidR="00312FC6" w:rsidRPr="004C4F6D" w:rsidRDefault="003919DE" w:rsidP="004C4F6D">
      <w:pPr>
        <w:pStyle w:val="ListParagraph"/>
        <w:numPr>
          <w:ilvl w:val="1"/>
          <w:numId w:val="12"/>
        </w:numPr>
        <w:spacing w:after="0" w:line="240" w:lineRule="auto"/>
        <w:ind w:left="709" w:firstLine="0"/>
        <w:jc w:val="both"/>
        <w:rPr>
          <w:rFonts w:ascii="Arial" w:eastAsia="Arial" w:hAnsi="Arial" w:cs="Arial"/>
          <w:color w:val="000000"/>
          <w:lang w:eastAsia="en-PH"/>
        </w:rPr>
      </w:pPr>
      <w:r w:rsidRPr="004C4F6D">
        <w:rPr>
          <w:rFonts w:ascii="Arial" w:eastAsia="Arial" w:hAnsi="Arial" w:cs="Arial"/>
          <w:b/>
          <w:color w:val="000000"/>
          <w:lang w:eastAsia="en-PH"/>
        </w:rPr>
        <w:t>clearly define “areas of concern” and set parameters as bases for the exemption from the prescribed valuation</w:t>
      </w:r>
      <w:r w:rsidR="0042132B" w:rsidRPr="004C4F6D">
        <w:rPr>
          <w:rFonts w:ascii="Arial" w:eastAsia="Arial" w:hAnsi="Arial" w:cs="Arial"/>
          <w:b/>
          <w:color w:val="000000"/>
          <w:lang w:eastAsia="en-PH"/>
        </w:rPr>
        <w:t xml:space="preserve"> for inclusion in the proposed amendment of guidelines on values to be used in cases appraisals cannot </w:t>
      </w:r>
      <w:r w:rsidR="0042132B" w:rsidRPr="004C4F6D">
        <w:rPr>
          <w:rFonts w:ascii="Arial" w:eastAsia="Arial" w:hAnsi="Arial" w:cs="Arial"/>
          <w:b/>
          <w:color w:val="000000"/>
          <w:lang w:eastAsia="en-PH"/>
        </w:rPr>
        <w:lastRenderedPageBreak/>
        <w:t>be conducted,</w:t>
      </w:r>
      <w:r w:rsidRPr="004C4F6D">
        <w:rPr>
          <w:rFonts w:ascii="Arial" w:eastAsia="Arial" w:hAnsi="Arial" w:cs="Arial"/>
          <w:b/>
          <w:color w:val="000000"/>
          <w:lang w:eastAsia="en-PH"/>
        </w:rPr>
        <w:t xml:space="preserve"> for consistency of application and prevent abuse of discretion;</w:t>
      </w:r>
      <w:r w:rsidR="00D04F72">
        <w:rPr>
          <w:rFonts w:ascii="Arial" w:eastAsia="Arial" w:hAnsi="Arial" w:cs="Arial"/>
          <w:b/>
          <w:color w:val="000000"/>
          <w:lang w:eastAsia="en-PH"/>
        </w:rPr>
        <w:t xml:space="preserve"> and</w:t>
      </w:r>
    </w:p>
    <w:p w14:paraId="1F475FE1" w14:textId="77777777" w:rsidR="00312FC6" w:rsidRPr="004C4F6D" w:rsidRDefault="00312FC6" w:rsidP="004C4F6D">
      <w:pPr>
        <w:pStyle w:val="ListParagraph"/>
        <w:spacing w:after="0" w:line="240" w:lineRule="auto"/>
        <w:rPr>
          <w:rFonts w:ascii="Arial" w:eastAsia="Arial" w:hAnsi="Arial" w:cs="Arial"/>
          <w:b/>
          <w:color w:val="000000"/>
          <w:lang w:eastAsia="en-PH"/>
        </w:rPr>
      </w:pPr>
    </w:p>
    <w:p w14:paraId="1035F02A" w14:textId="70192E05" w:rsidR="00312FC6" w:rsidRPr="004C4F6D" w:rsidRDefault="003919DE" w:rsidP="004C4F6D">
      <w:pPr>
        <w:pStyle w:val="ListParagraph"/>
        <w:numPr>
          <w:ilvl w:val="1"/>
          <w:numId w:val="12"/>
        </w:numPr>
        <w:spacing w:after="0" w:line="240" w:lineRule="auto"/>
        <w:ind w:left="709" w:firstLine="0"/>
        <w:jc w:val="both"/>
        <w:rPr>
          <w:rFonts w:ascii="Arial" w:eastAsia="Arial" w:hAnsi="Arial" w:cs="Arial"/>
          <w:color w:val="000000"/>
          <w:lang w:eastAsia="en-PH"/>
        </w:rPr>
      </w:pPr>
      <w:r w:rsidRPr="004C4F6D">
        <w:rPr>
          <w:rFonts w:ascii="Arial" w:eastAsia="Arial" w:hAnsi="Arial" w:cs="Arial"/>
          <w:b/>
          <w:lang w:eastAsia="en-PH"/>
        </w:rPr>
        <w:t>faithfully comply with CPI No. 2013-008, LBP Executive Order No. 073, and SPAD operations Manual including revisions thereto.</w:t>
      </w:r>
    </w:p>
    <w:p w14:paraId="004B424B" w14:textId="77777777" w:rsidR="00312FC6" w:rsidRPr="004C4F6D" w:rsidRDefault="00312FC6" w:rsidP="004C4F6D">
      <w:pPr>
        <w:pStyle w:val="ListParagraph"/>
        <w:spacing w:after="0" w:line="240" w:lineRule="auto"/>
        <w:rPr>
          <w:rFonts w:ascii="Arial" w:eastAsia="Arial" w:hAnsi="Arial" w:cs="Arial"/>
          <w:color w:val="000000"/>
          <w:lang w:eastAsia="en-PH"/>
        </w:rPr>
      </w:pPr>
    </w:p>
    <w:p w14:paraId="623AF237" w14:textId="23646338"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As of 28 April 2023, out of 4,283</w:t>
      </w:r>
      <w:r w:rsidR="00716584" w:rsidRPr="004C4F6D">
        <w:rPr>
          <w:rFonts w:ascii="Arial" w:eastAsia="Arial Narrow" w:hAnsi="Arial" w:cs="Arial"/>
          <w:color w:val="000000"/>
        </w:rPr>
        <w:t xml:space="preserve"> </w:t>
      </w:r>
      <w:r w:rsidR="00E01A28" w:rsidRPr="004C4F6D">
        <w:rPr>
          <w:rFonts w:ascii="Arial" w:eastAsia="Arial Narrow" w:hAnsi="Arial" w:cs="Arial"/>
          <w:color w:val="000000"/>
        </w:rPr>
        <w:t>ROPA</w:t>
      </w:r>
      <w:r w:rsidR="00DD3058" w:rsidRPr="004C4F6D">
        <w:rPr>
          <w:rFonts w:ascii="Arial" w:eastAsia="Arial Narrow" w:hAnsi="Arial" w:cs="Arial"/>
          <w:color w:val="000000"/>
        </w:rPr>
        <w:t xml:space="preserve">s </w:t>
      </w:r>
      <w:r w:rsidR="00716584" w:rsidRPr="004C4F6D">
        <w:rPr>
          <w:rFonts w:ascii="Arial" w:eastAsia="Arial Narrow" w:hAnsi="Arial" w:cs="Arial"/>
          <w:color w:val="000000"/>
        </w:rPr>
        <w:t xml:space="preserve">without </w:t>
      </w:r>
      <w:r w:rsidR="00497954" w:rsidRPr="004C4F6D">
        <w:rPr>
          <w:rFonts w:ascii="Arial" w:eastAsia="Arial Narrow" w:hAnsi="Arial" w:cs="Arial"/>
          <w:color w:val="000000"/>
        </w:rPr>
        <w:t>updated</w:t>
      </w:r>
      <w:r w:rsidR="00716584" w:rsidRPr="004C4F6D">
        <w:rPr>
          <w:rFonts w:ascii="Arial" w:eastAsia="Arial Narrow" w:hAnsi="Arial" w:cs="Arial"/>
          <w:color w:val="000000"/>
        </w:rPr>
        <w:t xml:space="preserve"> appraisals</w:t>
      </w:r>
      <w:r w:rsidRPr="004C4F6D">
        <w:rPr>
          <w:rFonts w:ascii="Arial" w:eastAsia="Arial Narrow" w:hAnsi="Arial" w:cs="Arial"/>
          <w:color w:val="000000"/>
        </w:rPr>
        <w:t>, 15.1</w:t>
      </w:r>
      <w:r w:rsidR="00497954" w:rsidRPr="004C4F6D">
        <w:rPr>
          <w:rFonts w:ascii="Arial" w:eastAsia="Arial Narrow" w:hAnsi="Arial" w:cs="Arial"/>
          <w:color w:val="000000"/>
        </w:rPr>
        <w:t xml:space="preserve"> per cent</w:t>
      </w:r>
      <w:r w:rsidRPr="004C4F6D">
        <w:rPr>
          <w:rFonts w:ascii="Arial" w:eastAsia="Arial Narrow" w:hAnsi="Arial" w:cs="Arial"/>
          <w:color w:val="000000"/>
        </w:rPr>
        <w:t xml:space="preserve"> or 646 properties amounting to P1,042,014,110 have </w:t>
      </w:r>
      <w:r w:rsidR="00497954" w:rsidRPr="004C4F6D">
        <w:rPr>
          <w:rFonts w:ascii="Arial" w:eastAsia="Arial Narrow" w:hAnsi="Arial" w:cs="Arial"/>
          <w:color w:val="000000"/>
        </w:rPr>
        <w:t>been appraised and</w:t>
      </w:r>
      <w:r w:rsidRPr="004C4F6D">
        <w:rPr>
          <w:rFonts w:ascii="Arial" w:eastAsia="Arial Narrow" w:hAnsi="Arial" w:cs="Arial"/>
          <w:color w:val="000000"/>
        </w:rPr>
        <w:t xml:space="preserve"> appraisal reports </w:t>
      </w:r>
      <w:r w:rsidR="00497954" w:rsidRPr="004C4F6D">
        <w:rPr>
          <w:rFonts w:ascii="Arial" w:eastAsia="Arial Narrow" w:hAnsi="Arial" w:cs="Arial"/>
          <w:color w:val="000000"/>
        </w:rPr>
        <w:t xml:space="preserve">of </w:t>
      </w:r>
      <w:r w:rsidRPr="004C4F6D">
        <w:rPr>
          <w:rFonts w:ascii="Arial" w:eastAsia="Arial Narrow" w:hAnsi="Arial" w:cs="Arial"/>
          <w:color w:val="000000"/>
        </w:rPr>
        <w:t xml:space="preserve">65 properties are on-going encoding in the ROPA Manager System. For </w:t>
      </w:r>
      <w:r w:rsidR="00497954" w:rsidRPr="004C4F6D">
        <w:rPr>
          <w:rFonts w:ascii="Arial" w:eastAsia="Arial Narrow" w:hAnsi="Arial" w:cs="Arial"/>
          <w:color w:val="000000"/>
        </w:rPr>
        <w:t xml:space="preserve">the </w:t>
      </w:r>
      <w:r w:rsidRPr="004C4F6D">
        <w:rPr>
          <w:rFonts w:ascii="Arial" w:eastAsia="Arial Narrow" w:hAnsi="Arial" w:cs="Arial"/>
          <w:color w:val="000000"/>
        </w:rPr>
        <w:t>57.2% or 2,450 properties amounting to P1,096,338,167, SPAD had requested for appraisal update from previous years up to CY 2022 and with follow-ups thr</w:t>
      </w:r>
      <w:r w:rsidR="00497954" w:rsidRPr="004C4F6D">
        <w:rPr>
          <w:rFonts w:ascii="Arial" w:eastAsia="Arial Narrow" w:hAnsi="Arial" w:cs="Arial"/>
          <w:color w:val="000000"/>
        </w:rPr>
        <w:t>ough</w:t>
      </w:r>
      <w:r w:rsidRPr="004C4F6D">
        <w:rPr>
          <w:rFonts w:ascii="Arial" w:eastAsia="Arial Narrow" w:hAnsi="Arial" w:cs="Arial"/>
          <w:color w:val="000000"/>
        </w:rPr>
        <w:t xml:space="preserve"> email or memo</w:t>
      </w:r>
      <w:r w:rsidR="00497954" w:rsidRPr="004C4F6D">
        <w:rPr>
          <w:rFonts w:ascii="Arial" w:eastAsia="Arial Narrow" w:hAnsi="Arial" w:cs="Arial"/>
          <w:color w:val="000000"/>
        </w:rPr>
        <w:t>randum</w:t>
      </w:r>
      <w:r w:rsidRPr="004C4F6D">
        <w:rPr>
          <w:rFonts w:ascii="Arial" w:eastAsia="Arial Narrow" w:hAnsi="Arial" w:cs="Arial"/>
          <w:color w:val="000000"/>
        </w:rPr>
        <w:t xml:space="preserve">. Moreover, 4.7% or 200 properties with BV of P263,018,915 have requests for appraisal </w:t>
      </w:r>
      <w:r w:rsidR="00DD3058" w:rsidRPr="004C4F6D">
        <w:rPr>
          <w:rFonts w:ascii="Arial" w:eastAsia="Arial Narrow" w:hAnsi="Arial" w:cs="Arial"/>
          <w:color w:val="000000"/>
        </w:rPr>
        <w:t xml:space="preserve">in </w:t>
      </w:r>
      <w:r w:rsidRPr="004C4F6D">
        <w:rPr>
          <w:rFonts w:ascii="Arial" w:eastAsia="Arial Narrow" w:hAnsi="Arial" w:cs="Arial"/>
          <w:color w:val="000000"/>
        </w:rPr>
        <w:t>CY 2023.  Part of the ROPAs included in the study comprising 18.2% or 779 properties with BV of P335,456,446, have yet to be accepted by SPAD or still booked with the Lending Centers/Lending Units (LCs/LUs).</w:t>
      </w:r>
    </w:p>
    <w:p w14:paraId="0A6AFFF4" w14:textId="77777777" w:rsidR="00312FC6" w:rsidRPr="004C4F6D" w:rsidRDefault="00312FC6" w:rsidP="004C4F6D">
      <w:pPr>
        <w:pStyle w:val="ListParagraph"/>
        <w:spacing w:after="0" w:line="240" w:lineRule="auto"/>
        <w:ind w:left="0" w:right="172"/>
        <w:jc w:val="both"/>
        <w:rPr>
          <w:rFonts w:ascii="Arial" w:eastAsia="Arial Narrow" w:hAnsi="Arial" w:cs="Arial"/>
          <w:color w:val="000000"/>
        </w:rPr>
      </w:pPr>
    </w:p>
    <w:p w14:paraId="45E9D895" w14:textId="05F8EFCF" w:rsidR="00312FC6" w:rsidRPr="004C4F6D" w:rsidRDefault="00DD3058"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 xml:space="preserve">The </w:t>
      </w:r>
      <w:r w:rsidR="003919DE" w:rsidRPr="004C4F6D">
        <w:rPr>
          <w:rFonts w:ascii="Arial" w:eastAsia="Arial Narrow" w:hAnsi="Arial" w:cs="Arial"/>
          <w:color w:val="000000"/>
        </w:rPr>
        <w:t>properties located outside Metro Manila were endorsed to the Agrarian Operations Centers for the field teams to do the appraisal. Request</w:t>
      </w:r>
      <w:r w:rsidRPr="004C4F6D">
        <w:rPr>
          <w:rFonts w:ascii="Arial" w:eastAsia="Arial Narrow" w:hAnsi="Arial" w:cs="Arial"/>
          <w:color w:val="000000"/>
        </w:rPr>
        <w:t>s</w:t>
      </w:r>
      <w:r w:rsidR="003919DE" w:rsidRPr="004C4F6D">
        <w:rPr>
          <w:rFonts w:ascii="Arial" w:eastAsia="Arial Narrow" w:hAnsi="Arial" w:cs="Arial"/>
          <w:color w:val="000000"/>
        </w:rPr>
        <w:t xml:space="preserve"> </w:t>
      </w:r>
      <w:r w:rsidRPr="004C4F6D">
        <w:rPr>
          <w:rFonts w:ascii="Arial" w:eastAsia="Arial Narrow" w:hAnsi="Arial" w:cs="Arial"/>
          <w:color w:val="000000"/>
        </w:rPr>
        <w:t xml:space="preserve">for appraisal </w:t>
      </w:r>
      <w:r w:rsidR="003919DE" w:rsidRPr="004C4F6D">
        <w:rPr>
          <w:rFonts w:ascii="Arial" w:eastAsia="Arial Narrow" w:hAnsi="Arial" w:cs="Arial"/>
          <w:color w:val="000000"/>
        </w:rPr>
        <w:t xml:space="preserve">with deficiencies </w:t>
      </w:r>
      <w:r w:rsidRPr="004C4F6D">
        <w:rPr>
          <w:rFonts w:ascii="Arial" w:eastAsia="Arial Narrow" w:hAnsi="Arial" w:cs="Arial"/>
          <w:color w:val="000000"/>
        </w:rPr>
        <w:t>were</w:t>
      </w:r>
      <w:r w:rsidR="003919DE" w:rsidRPr="004C4F6D">
        <w:rPr>
          <w:rFonts w:ascii="Arial" w:eastAsia="Arial Narrow" w:hAnsi="Arial" w:cs="Arial"/>
          <w:color w:val="000000"/>
        </w:rPr>
        <w:t xml:space="preserve"> returned to SPAD to ensure proper monitoring of requests and its completion. Moreover, an open line of communication was established wherein difficulties </w:t>
      </w:r>
      <w:r w:rsidRPr="004C4F6D">
        <w:rPr>
          <w:rFonts w:ascii="Arial" w:eastAsia="Arial Narrow" w:hAnsi="Arial" w:cs="Arial"/>
          <w:color w:val="000000"/>
        </w:rPr>
        <w:t xml:space="preserve">in appraisal </w:t>
      </w:r>
      <w:r w:rsidR="003919DE" w:rsidRPr="004C4F6D">
        <w:rPr>
          <w:rFonts w:ascii="Arial" w:eastAsia="Arial Narrow" w:hAnsi="Arial" w:cs="Arial"/>
          <w:color w:val="000000"/>
        </w:rPr>
        <w:t>are discussed and resolved, as they arise.</w:t>
      </w:r>
    </w:p>
    <w:p w14:paraId="372694A9" w14:textId="77777777" w:rsidR="00312FC6" w:rsidRPr="004C4F6D" w:rsidRDefault="00312FC6" w:rsidP="004C4F6D">
      <w:pPr>
        <w:pStyle w:val="ListParagraph"/>
        <w:spacing w:after="0" w:line="240" w:lineRule="auto"/>
        <w:rPr>
          <w:rFonts w:ascii="Arial" w:eastAsia="Arial Narrow" w:hAnsi="Arial" w:cs="Arial"/>
          <w:color w:val="000000"/>
        </w:rPr>
      </w:pPr>
    </w:p>
    <w:p w14:paraId="5E21EAA3" w14:textId="0400FED4"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 xml:space="preserve">SPAD </w:t>
      </w:r>
      <w:r w:rsidR="00B55E06" w:rsidRPr="004C4F6D">
        <w:rPr>
          <w:rFonts w:ascii="Arial" w:eastAsia="Arial Narrow" w:hAnsi="Arial" w:cs="Arial"/>
          <w:color w:val="000000"/>
        </w:rPr>
        <w:t>als</w:t>
      </w:r>
      <w:r w:rsidR="00DD3058" w:rsidRPr="004C4F6D">
        <w:rPr>
          <w:rFonts w:ascii="Arial" w:eastAsia="Arial Narrow" w:hAnsi="Arial" w:cs="Arial"/>
          <w:color w:val="000000"/>
        </w:rPr>
        <w:t>o</w:t>
      </w:r>
      <w:r w:rsidR="00B55E06" w:rsidRPr="004C4F6D">
        <w:rPr>
          <w:rFonts w:ascii="Arial" w:eastAsia="Arial Narrow" w:hAnsi="Arial" w:cs="Arial"/>
          <w:color w:val="000000"/>
        </w:rPr>
        <w:t xml:space="preserve"> committed to</w:t>
      </w:r>
      <w:r w:rsidRPr="004C4F6D">
        <w:rPr>
          <w:rFonts w:ascii="Arial" w:eastAsia="Arial Narrow" w:hAnsi="Arial" w:cs="Arial"/>
          <w:color w:val="000000"/>
        </w:rPr>
        <w:t xml:space="preserve"> ensure that the designated ROPA MS User/handling AOs shall review the completeness of the data in the </w:t>
      </w:r>
      <w:r w:rsidR="00DD3058" w:rsidRPr="004C4F6D">
        <w:rPr>
          <w:rFonts w:ascii="Arial" w:eastAsia="Arial Narrow" w:hAnsi="Arial" w:cs="Arial"/>
          <w:color w:val="000000"/>
        </w:rPr>
        <w:t>Appraisal R</w:t>
      </w:r>
      <w:r w:rsidRPr="004C4F6D">
        <w:rPr>
          <w:rFonts w:ascii="Arial" w:eastAsia="Arial Narrow" w:hAnsi="Arial" w:cs="Arial"/>
          <w:color w:val="000000"/>
        </w:rPr>
        <w:t xml:space="preserve">eport and thereafter encode/update the appraisal details in the ROPA MS upon receipt of the </w:t>
      </w:r>
      <w:r w:rsidR="00DD3058" w:rsidRPr="004C4F6D">
        <w:rPr>
          <w:rFonts w:ascii="Arial" w:eastAsia="Arial Narrow" w:hAnsi="Arial" w:cs="Arial"/>
          <w:color w:val="000000"/>
        </w:rPr>
        <w:t>said report</w:t>
      </w:r>
      <w:r w:rsidRPr="004C4F6D">
        <w:rPr>
          <w:rFonts w:ascii="Arial" w:eastAsia="Arial Narrow" w:hAnsi="Arial" w:cs="Arial"/>
          <w:color w:val="000000"/>
        </w:rPr>
        <w:t xml:space="preserve"> from PVCID or wh</w:t>
      </w:r>
      <w:r w:rsidR="00DD3058" w:rsidRPr="004C4F6D">
        <w:rPr>
          <w:rFonts w:ascii="Arial" w:eastAsia="Arial Narrow" w:hAnsi="Arial" w:cs="Arial"/>
          <w:color w:val="000000"/>
        </w:rPr>
        <w:t>atever</w:t>
      </w:r>
      <w:r w:rsidRPr="004C4F6D">
        <w:rPr>
          <w:rFonts w:ascii="Arial" w:eastAsia="Arial Narrow" w:hAnsi="Arial" w:cs="Arial"/>
          <w:color w:val="000000"/>
        </w:rPr>
        <w:t xml:space="preserve"> proper action.</w:t>
      </w:r>
    </w:p>
    <w:p w14:paraId="33863FEE" w14:textId="77777777" w:rsidR="00312FC6" w:rsidRPr="004C4F6D" w:rsidRDefault="00312FC6" w:rsidP="004C4F6D">
      <w:pPr>
        <w:pStyle w:val="ListParagraph"/>
        <w:spacing w:after="0" w:line="240" w:lineRule="auto"/>
        <w:ind w:left="0"/>
        <w:jc w:val="both"/>
        <w:rPr>
          <w:rFonts w:ascii="Arial" w:eastAsia="Arial Narrow" w:hAnsi="Arial" w:cs="Arial"/>
          <w:color w:val="000000"/>
        </w:rPr>
      </w:pPr>
    </w:p>
    <w:p w14:paraId="404F5C36" w14:textId="77777777" w:rsidR="00312FC6" w:rsidRPr="004C4F6D" w:rsidRDefault="00312FC6" w:rsidP="004C4F6D">
      <w:pPr>
        <w:pStyle w:val="ListParagraph"/>
        <w:spacing w:after="0" w:line="240" w:lineRule="auto"/>
        <w:ind w:left="0"/>
        <w:jc w:val="both"/>
        <w:rPr>
          <w:rFonts w:ascii="Arial" w:eastAsia="Arial Narrow" w:hAnsi="Arial" w:cs="Arial"/>
          <w:color w:val="000000"/>
        </w:rPr>
      </w:pPr>
    </w:p>
    <w:p w14:paraId="55120E99" w14:textId="77590E73" w:rsidR="00E67B15" w:rsidRPr="004C4F6D" w:rsidRDefault="00444134" w:rsidP="004C4F6D">
      <w:pPr>
        <w:pStyle w:val="ListParagraph"/>
        <w:numPr>
          <w:ilvl w:val="0"/>
          <w:numId w:val="39"/>
        </w:numPr>
        <w:autoSpaceDE w:val="0"/>
        <w:autoSpaceDN w:val="0"/>
        <w:adjustRightInd w:val="0"/>
        <w:spacing w:after="0" w:line="240" w:lineRule="auto"/>
        <w:ind w:left="0" w:firstLine="0"/>
        <w:jc w:val="both"/>
        <w:rPr>
          <w:rFonts w:ascii="Arial" w:eastAsia="Arial Narrow" w:hAnsi="Arial" w:cs="Arial"/>
          <w:b/>
          <w:color w:val="0E101A"/>
        </w:rPr>
      </w:pPr>
      <w:r w:rsidRPr="004C4F6D">
        <w:rPr>
          <w:rFonts w:ascii="Arial" w:eastAsia="Arial Narrow" w:hAnsi="Arial" w:cs="Arial"/>
          <w:b/>
          <w:color w:val="0E101A"/>
        </w:rPr>
        <w:t>C</w:t>
      </w:r>
      <w:r w:rsidR="008436EE" w:rsidRPr="004C4F6D">
        <w:rPr>
          <w:rFonts w:ascii="Arial" w:eastAsia="Arial Narrow" w:hAnsi="Arial" w:cs="Arial"/>
          <w:b/>
          <w:color w:val="0E101A"/>
        </w:rPr>
        <w:t xml:space="preserve">onsolidation of titles of 2,315 </w:t>
      </w:r>
      <w:r w:rsidR="00E67B15" w:rsidRPr="004C4F6D">
        <w:rPr>
          <w:rFonts w:ascii="Arial" w:eastAsia="Arial Narrow" w:hAnsi="Arial" w:cs="Arial"/>
          <w:b/>
          <w:color w:val="0E101A"/>
        </w:rPr>
        <w:t xml:space="preserve">real and </w:t>
      </w:r>
      <w:r w:rsidR="008436EE" w:rsidRPr="004C4F6D">
        <w:rPr>
          <w:rFonts w:ascii="Arial" w:eastAsia="Arial Narrow" w:hAnsi="Arial" w:cs="Arial"/>
          <w:b/>
          <w:color w:val="0E101A"/>
        </w:rPr>
        <w:t xml:space="preserve">acquired properties with a book value amounting to P1,360,497,941.47 </w:t>
      </w:r>
      <w:r w:rsidR="00E67B15" w:rsidRPr="004C4F6D">
        <w:rPr>
          <w:rFonts w:ascii="Arial" w:eastAsia="Arial Narrow" w:hAnsi="Arial" w:cs="Arial"/>
          <w:b/>
          <w:color w:val="0E101A"/>
        </w:rPr>
        <w:t xml:space="preserve">was not undertaken </w:t>
      </w:r>
      <w:r w:rsidR="00E67B15" w:rsidRPr="004C4F6D">
        <w:rPr>
          <w:rFonts w:ascii="Arial" w:eastAsia="Arial Narrow" w:hAnsi="Arial" w:cs="Arial"/>
          <w:b/>
        </w:rPr>
        <w:t>within sixty (60) calendar days from date of the expiration of the redemption period</w:t>
      </w:r>
      <w:r w:rsidR="00E67B15" w:rsidRPr="004C4F6D">
        <w:rPr>
          <w:rFonts w:ascii="Arial" w:eastAsia="Arial Narrow" w:hAnsi="Arial" w:cs="Arial"/>
          <w:b/>
          <w:color w:val="0E101A"/>
        </w:rPr>
        <w:t>, contrary to bank policy, and further depriving the Bank of the opportunity to sell in maximum value and recover exposure from the acquired assets.</w:t>
      </w:r>
    </w:p>
    <w:p w14:paraId="0DF2A428" w14:textId="77777777" w:rsidR="009A6A52" w:rsidRPr="004C4F6D" w:rsidRDefault="009A6A52" w:rsidP="004C4F6D">
      <w:pPr>
        <w:pStyle w:val="ListParagraph"/>
        <w:autoSpaceDE w:val="0"/>
        <w:autoSpaceDN w:val="0"/>
        <w:adjustRightInd w:val="0"/>
        <w:spacing w:after="0" w:line="240" w:lineRule="auto"/>
        <w:ind w:left="0"/>
        <w:jc w:val="both"/>
        <w:rPr>
          <w:rFonts w:ascii="Arial" w:eastAsia="Arial Narrow" w:hAnsi="Arial" w:cs="Arial"/>
          <w:b/>
          <w:color w:val="0E101A"/>
        </w:rPr>
      </w:pPr>
    </w:p>
    <w:p w14:paraId="2B49D86F" w14:textId="77777777" w:rsidR="0043151A" w:rsidRPr="004C4F6D" w:rsidRDefault="0043151A" w:rsidP="004C4F6D">
      <w:pPr>
        <w:pStyle w:val="ListParagraph"/>
        <w:numPr>
          <w:ilvl w:val="0"/>
          <w:numId w:val="35"/>
        </w:numPr>
        <w:autoSpaceDE w:val="0"/>
        <w:autoSpaceDN w:val="0"/>
        <w:adjustRightInd w:val="0"/>
        <w:spacing w:after="0" w:line="240" w:lineRule="auto"/>
        <w:jc w:val="both"/>
        <w:rPr>
          <w:rFonts w:ascii="Arial" w:eastAsia="Arial Narrow" w:hAnsi="Arial" w:cs="Arial"/>
          <w:b/>
          <w:vanish/>
          <w:color w:val="0E101A"/>
        </w:rPr>
      </w:pPr>
    </w:p>
    <w:p w14:paraId="1EE511F8" w14:textId="73F68046" w:rsidR="0043151A" w:rsidRPr="004C4F6D" w:rsidRDefault="0043151A"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b/>
          <w:color w:val="0E101A"/>
        </w:rPr>
      </w:pPr>
      <w:r w:rsidRPr="004C4F6D">
        <w:rPr>
          <w:rFonts w:ascii="Arial" w:eastAsia="Arial Narrow" w:hAnsi="Arial" w:cs="Arial"/>
          <w:color w:val="000000"/>
        </w:rPr>
        <w:t>Real and Other Properties Acquired (ROPA) are properties, other than those used for banking purposes, acquired by the Bank in settlement of loans through foreclosure or dacion en pago</w:t>
      </w:r>
    </w:p>
    <w:p w14:paraId="71C5BB5C" w14:textId="77777777" w:rsidR="0043151A" w:rsidRPr="004C4F6D" w:rsidRDefault="0043151A" w:rsidP="004C4F6D">
      <w:pPr>
        <w:pStyle w:val="ListParagraph"/>
        <w:autoSpaceDE w:val="0"/>
        <w:autoSpaceDN w:val="0"/>
        <w:adjustRightInd w:val="0"/>
        <w:spacing w:after="0" w:line="240" w:lineRule="auto"/>
        <w:ind w:left="0"/>
        <w:jc w:val="both"/>
        <w:rPr>
          <w:rFonts w:ascii="Arial" w:eastAsia="Arial Narrow" w:hAnsi="Arial" w:cs="Arial"/>
          <w:b/>
          <w:color w:val="0E101A"/>
        </w:rPr>
      </w:pPr>
    </w:p>
    <w:p w14:paraId="2555AA48" w14:textId="7A3F6B8C" w:rsidR="009A6A52" w:rsidRPr="004C4F6D" w:rsidRDefault="003132AD"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rPr>
        <w:t>The</w:t>
      </w:r>
      <w:r w:rsidR="009A6A52" w:rsidRPr="004C4F6D">
        <w:rPr>
          <w:rFonts w:ascii="Arial" w:eastAsia="Arial Narrow" w:hAnsi="Arial" w:cs="Arial"/>
          <w:color w:val="000000"/>
        </w:rPr>
        <w:t xml:space="preserve"> Special Assets Department (SPAD) performs functions relative to ROPA, such as redemption of foreclosed properties; consolidation of ownership/title of properties in coordination with the Litigation Department, and administration and disposal of the properties.</w:t>
      </w:r>
    </w:p>
    <w:p w14:paraId="4A6FF451" w14:textId="77777777" w:rsidR="009A6A52" w:rsidRPr="004C4F6D" w:rsidRDefault="009A6A52" w:rsidP="004C4F6D">
      <w:pPr>
        <w:pStyle w:val="ListParagraph"/>
        <w:autoSpaceDE w:val="0"/>
        <w:autoSpaceDN w:val="0"/>
        <w:adjustRightInd w:val="0"/>
        <w:spacing w:after="0" w:line="240" w:lineRule="auto"/>
        <w:ind w:left="0"/>
        <w:jc w:val="both"/>
        <w:rPr>
          <w:rFonts w:ascii="Arial" w:eastAsia="Arial Narrow" w:hAnsi="Arial" w:cs="Arial"/>
          <w:color w:val="000000"/>
        </w:rPr>
      </w:pPr>
    </w:p>
    <w:p w14:paraId="06DB1CF4" w14:textId="18989995"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hAnsi="Arial" w:cs="Arial"/>
        </w:rPr>
        <w:t>Item</w:t>
      </w:r>
      <w:r w:rsidRPr="004C4F6D">
        <w:rPr>
          <w:rFonts w:ascii="Arial" w:eastAsia="Arial Narrow" w:hAnsi="Arial" w:cs="Arial"/>
        </w:rPr>
        <w:t xml:space="preserve"> 5 of Chapter 3, Consolidation of Real Properties Not Redeemed, of the SPAD Operations Manual provides that:</w:t>
      </w:r>
    </w:p>
    <w:p w14:paraId="1EF27537" w14:textId="77777777" w:rsidR="00312FC6" w:rsidRPr="004C4F6D" w:rsidRDefault="00312FC6" w:rsidP="004C4F6D">
      <w:pPr>
        <w:pStyle w:val="ListParagraph"/>
        <w:spacing w:after="0" w:line="240" w:lineRule="auto"/>
        <w:ind w:left="0"/>
        <w:jc w:val="both"/>
        <w:rPr>
          <w:rFonts w:ascii="Arial" w:eastAsia="Arial Narrow" w:hAnsi="Arial" w:cs="Arial"/>
        </w:rPr>
      </w:pPr>
    </w:p>
    <w:p w14:paraId="568777C6" w14:textId="77777777" w:rsidR="00312FC6" w:rsidRPr="004C4F6D" w:rsidRDefault="003919DE" w:rsidP="004C4F6D">
      <w:pPr>
        <w:spacing w:after="0" w:line="240" w:lineRule="auto"/>
        <w:ind w:left="720" w:right="716"/>
        <w:jc w:val="both"/>
        <w:rPr>
          <w:rFonts w:ascii="Arial" w:eastAsia="Arial Narrow" w:hAnsi="Arial" w:cs="Arial"/>
          <w:i/>
        </w:rPr>
      </w:pPr>
      <w:r w:rsidRPr="004C4F6D">
        <w:rPr>
          <w:rFonts w:ascii="Arial" w:eastAsia="Arial Narrow" w:hAnsi="Arial" w:cs="Arial"/>
          <w:i/>
        </w:rPr>
        <w:t>Consolidation of title shall be undertaken by the LD within sixty (60) calendar days from date of the expiration of the redemption period based on the date of registration of the COS.</w:t>
      </w:r>
    </w:p>
    <w:p w14:paraId="260ADAFF" w14:textId="77777777" w:rsidR="00312FC6" w:rsidRPr="004C4F6D" w:rsidRDefault="00312FC6" w:rsidP="004C4F6D">
      <w:pPr>
        <w:spacing w:after="0" w:line="240" w:lineRule="auto"/>
        <w:ind w:left="1247" w:right="1028"/>
        <w:jc w:val="both"/>
        <w:rPr>
          <w:rFonts w:ascii="Arial" w:eastAsia="Arial Narrow" w:hAnsi="Arial" w:cs="Arial"/>
        </w:rPr>
      </w:pPr>
    </w:p>
    <w:p w14:paraId="098029FA" w14:textId="7B490E63"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lastRenderedPageBreak/>
        <w:t>Consolidation is the process wherein the title of the foreclosed property is registered in the name of the Bank</w:t>
      </w:r>
      <w:r w:rsidR="00731C33" w:rsidRPr="004C4F6D">
        <w:rPr>
          <w:rFonts w:ascii="Arial" w:eastAsia="Arial Narrow" w:hAnsi="Arial" w:cs="Arial"/>
        </w:rPr>
        <w:t xml:space="preserve"> </w:t>
      </w:r>
      <w:r w:rsidR="003132AD" w:rsidRPr="004C4F6D">
        <w:rPr>
          <w:rFonts w:ascii="Arial" w:eastAsia="Arial Narrow" w:hAnsi="Arial" w:cs="Arial"/>
        </w:rPr>
        <w:t>and involves</w:t>
      </w:r>
      <w:r w:rsidR="00444134" w:rsidRPr="004C4F6D">
        <w:rPr>
          <w:rFonts w:ascii="Arial" w:eastAsia="Arial Narrow" w:hAnsi="Arial" w:cs="Arial"/>
        </w:rPr>
        <w:t xml:space="preserve"> several procedures</w:t>
      </w:r>
      <w:r w:rsidR="0043151A" w:rsidRPr="004C4F6D">
        <w:rPr>
          <w:rFonts w:ascii="Arial" w:eastAsia="Arial Narrow" w:hAnsi="Arial" w:cs="Arial"/>
        </w:rPr>
        <w:t>.</w:t>
      </w:r>
    </w:p>
    <w:p w14:paraId="7A449916" w14:textId="26D84DE2" w:rsidR="00312FC6" w:rsidRPr="004C4F6D" w:rsidRDefault="00312FC6" w:rsidP="004C4F6D">
      <w:pPr>
        <w:spacing w:after="0" w:line="240" w:lineRule="auto"/>
        <w:ind w:right="855"/>
        <w:jc w:val="both"/>
        <w:rPr>
          <w:rFonts w:ascii="Arial" w:eastAsia="Arial Narrow" w:hAnsi="Arial" w:cs="Arial"/>
          <w:color w:val="000000"/>
        </w:rPr>
      </w:pPr>
    </w:p>
    <w:p w14:paraId="34B1C8EB" w14:textId="1DC6EDE6" w:rsidR="00312FC6" w:rsidRPr="004C4F6D" w:rsidRDefault="00444134"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t xml:space="preserve"> </w:t>
      </w:r>
      <w:r w:rsidR="0043151A" w:rsidRPr="004C4F6D">
        <w:rPr>
          <w:rFonts w:ascii="Arial" w:eastAsia="Arial Narrow" w:hAnsi="Arial" w:cs="Arial"/>
        </w:rPr>
        <w:t>T</w:t>
      </w:r>
      <w:r w:rsidRPr="004C4F6D">
        <w:rPr>
          <w:rFonts w:ascii="Arial" w:eastAsia="Arial Narrow" w:hAnsi="Arial" w:cs="Arial"/>
        </w:rPr>
        <w:t xml:space="preserve">he </w:t>
      </w:r>
      <w:r w:rsidR="003919DE" w:rsidRPr="004C4F6D">
        <w:rPr>
          <w:rFonts w:ascii="Arial" w:eastAsia="Arial Narrow" w:hAnsi="Arial" w:cs="Arial"/>
        </w:rPr>
        <w:t>60-day period</w:t>
      </w:r>
      <w:r w:rsidR="00BE00B0" w:rsidRPr="004C4F6D">
        <w:rPr>
          <w:rFonts w:ascii="Arial" w:eastAsia="Arial Narrow" w:hAnsi="Arial" w:cs="Arial"/>
        </w:rPr>
        <w:t xml:space="preserve"> of consolidation of title</w:t>
      </w:r>
      <w:r w:rsidRPr="004C4F6D">
        <w:rPr>
          <w:rFonts w:ascii="Arial" w:eastAsia="Arial Narrow" w:hAnsi="Arial" w:cs="Arial"/>
        </w:rPr>
        <w:t xml:space="preserve"> include, among others</w:t>
      </w:r>
      <w:r w:rsidR="003919DE" w:rsidRPr="004C4F6D">
        <w:rPr>
          <w:rFonts w:ascii="Arial" w:eastAsia="Arial Narrow" w:hAnsi="Arial" w:cs="Arial"/>
        </w:rPr>
        <w:t>, activities</w:t>
      </w:r>
      <w:r w:rsidRPr="004C4F6D">
        <w:rPr>
          <w:rFonts w:ascii="Arial" w:eastAsia="Arial Narrow" w:hAnsi="Arial" w:cs="Arial"/>
        </w:rPr>
        <w:t xml:space="preserve"> such as filing and submission of requirements and payments of taxes</w:t>
      </w:r>
      <w:r w:rsidR="003919DE" w:rsidRPr="004C4F6D">
        <w:rPr>
          <w:rFonts w:ascii="Arial" w:eastAsia="Arial Narrow" w:hAnsi="Arial" w:cs="Arial"/>
        </w:rPr>
        <w:t xml:space="preserve"> involving </w:t>
      </w:r>
      <w:r w:rsidRPr="004C4F6D">
        <w:rPr>
          <w:rFonts w:ascii="Arial" w:eastAsia="Arial Narrow" w:hAnsi="Arial" w:cs="Arial"/>
        </w:rPr>
        <w:t xml:space="preserve">the </w:t>
      </w:r>
      <w:r w:rsidR="003919DE" w:rsidRPr="004C4F6D">
        <w:rPr>
          <w:rFonts w:ascii="Arial" w:eastAsia="Arial Narrow" w:hAnsi="Arial" w:cs="Arial"/>
        </w:rPr>
        <w:t>Bureau of Internal Revenue (BIR), Department of Agrarian Reform (DAR), and Registry of Deeds (ROD</w:t>
      </w:r>
      <w:r w:rsidR="003132AD" w:rsidRPr="004C4F6D">
        <w:rPr>
          <w:rFonts w:ascii="Arial" w:eastAsia="Arial Narrow" w:hAnsi="Arial" w:cs="Arial"/>
        </w:rPr>
        <w:t>).</w:t>
      </w:r>
    </w:p>
    <w:p w14:paraId="2375B6D1" w14:textId="77777777" w:rsidR="00312FC6" w:rsidRPr="004C4F6D" w:rsidRDefault="00312FC6" w:rsidP="004C4F6D">
      <w:pPr>
        <w:pStyle w:val="ListParagraph"/>
        <w:spacing w:after="0" w:line="240" w:lineRule="auto"/>
        <w:ind w:left="0" w:right="140"/>
        <w:jc w:val="both"/>
        <w:rPr>
          <w:rFonts w:ascii="Arial" w:eastAsia="Arial Narrow" w:hAnsi="Arial" w:cs="Arial"/>
        </w:rPr>
      </w:pPr>
    </w:p>
    <w:p w14:paraId="75F3226D" w14:textId="7BE71E8B"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t xml:space="preserve">Review of the Masterlist of ROPA schedule on Real Properties disclosed that out of 6,954 titles </w:t>
      </w:r>
      <w:r w:rsidR="004405D2" w:rsidRPr="004C4F6D">
        <w:rPr>
          <w:rFonts w:ascii="Arial" w:eastAsia="Arial Narrow" w:hAnsi="Arial" w:cs="Arial"/>
        </w:rPr>
        <w:t>amounting to</w:t>
      </w:r>
      <w:r w:rsidRPr="004C4F6D">
        <w:rPr>
          <w:rFonts w:ascii="Arial" w:eastAsia="Arial Narrow" w:hAnsi="Arial" w:cs="Arial"/>
        </w:rPr>
        <w:t xml:space="preserve"> P7,940,354,479.11 for consolidation, 2,315 titles amounting to P1,360,497,941.47 were not consolidated in the name of LBP for two (2) to more than 39 years from the date of Certificate of Sale (COS), contrary to </w:t>
      </w:r>
      <w:r w:rsidR="004405D2" w:rsidRPr="004C4F6D">
        <w:rPr>
          <w:rFonts w:ascii="Arial" w:hAnsi="Arial" w:cs="Arial"/>
        </w:rPr>
        <w:t>Item</w:t>
      </w:r>
      <w:r w:rsidR="004405D2" w:rsidRPr="004C4F6D">
        <w:rPr>
          <w:rFonts w:ascii="Arial" w:eastAsia="Arial Narrow" w:hAnsi="Arial" w:cs="Arial"/>
        </w:rPr>
        <w:t xml:space="preserve"> 5 of Chapter 3, Consolidation of Real Properties Not Redeemed, of the SPAD Operations Manual</w:t>
      </w:r>
      <w:r w:rsidRPr="004C4F6D">
        <w:rPr>
          <w:rFonts w:ascii="Arial" w:eastAsia="Arial Narrow" w:hAnsi="Arial" w:cs="Arial"/>
        </w:rPr>
        <w:t xml:space="preserve">. </w:t>
      </w:r>
    </w:p>
    <w:p w14:paraId="4392C1BA" w14:textId="0E6FE4DB" w:rsidR="00B556BA" w:rsidRPr="004C4F6D" w:rsidRDefault="00B556BA" w:rsidP="004C4F6D">
      <w:pPr>
        <w:pStyle w:val="ListParagraph"/>
        <w:autoSpaceDE w:val="0"/>
        <w:autoSpaceDN w:val="0"/>
        <w:adjustRightInd w:val="0"/>
        <w:spacing w:after="0" w:line="240" w:lineRule="auto"/>
        <w:ind w:left="0"/>
        <w:jc w:val="both"/>
        <w:rPr>
          <w:rFonts w:ascii="Arial" w:eastAsia="Arial Narrow" w:hAnsi="Arial" w:cs="Arial"/>
        </w:rPr>
      </w:pPr>
    </w:p>
    <w:p w14:paraId="4624033E" w14:textId="2C831889" w:rsidR="00312FC6" w:rsidRPr="004C4F6D" w:rsidRDefault="00482559"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t>According to Management, t</w:t>
      </w:r>
      <w:r w:rsidR="003919DE" w:rsidRPr="004C4F6D">
        <w:rPr>
          <w:rFonts w:ascii="Arial" w:eastAsia="Arial Narrow" w:hAnsi="Arial" w:cs="Arial"/>
        </w:rPr>
        <w:t xml:space="preserve">he reasons/causes for the delay </w:t>
      </w:r>
      <w:r w:rsidR="00E67B15" w:rsidRPr="004C4F6D">
        <w:rPr>
          <w:rFonts w:ascii="Arial" w:eastAsia="Arial Narrow" w:hAnsi="Arial" w:cs="Arial"/>
        </w:rPr>
        <w:t xml:space="preserve">in consolidation </w:t>
      </w:r>
      <w:r w:rsidR="003919DE" w:rsidRPr="004C4F6D">
        <w:rPr>
          <w:rFonts w:ascii="Arial" w:eastAsia="Arial Narrow" w:hAnsi="Arial" w:cs="Arial"/>
        </w:rPr>
        <w:t>or non-consolidation of the 2,315 titles in the name of the Bank</w:t>
      </w:r>
      <w:r w:rsidRPr="004C4F6D">
        <w:rPr>
          <w:rFonts w:ascii="Arial" w:eastAsia="Arial Narrow" w:hAnsi="Arial" w:cs="Arial"/>
        </w:rPr>
        <w:t xml:space="preserve"> are as follows</w:t>
      </w:r>
      <w:r w:rsidR="003919DE" w:rsidRPr="004C4F6D">
        <w:rPr>
          <w:rFonts w:ascii="Arial" w:eastAsia="Arial Narrow" w:hAnsi="Arial" w:cs="Arial"/>
        </w:rPr>
        <w:t>:</w:t>
      </w:r>
    </w:p>
    <w:tbl>
      <w:tblPr>
        <w:tblpPr w:leftFromText="180" w:rightFromText="180" w:vertAnchor="text" w:horzAnchor="page" w:tblpX="2141" w:tblpY="240"/>
        <w:tblOverlap w:val="never"/>
        <w:tblW w:w="8730" w:type="dxa"/>
        <w:tblLayout w:type="fixed"/>
        <w:tblLook w:val="04A0" w:firstRow="1" w:lastRow="0" w:firstColumn="1" w:lastColumn="0" w:noHBand="0" w:noVBand="1"/>
      </w:tblPr>
      <w:tblGrid>
        <w:gridCol w:w="630"/>
        <w:gridCol w:w="3543"/>
        <w:gridCol w:w="992"/>
        <w:gridCol w:w="1985"/>
        <w:gridCol w:w="1580"/>
      </w:tblGrid>
      <w:tr w:rsidR="00312FC6" w:rsidRPr="004C4F6D" w14:paraId="4B4B5543" w14:textId="77777777" w:rsidTr="002F1504">
        <w:trPr>
          <w:trHeight w:val="380"/>
          <w:tblHeader/>
        </w:trPr>
        <w:tc>
          <w:tcPr>
            <w:tcW w:w="630" w:type="dxa"/>
            <w:tcBorders>
              <w:top w:val="single" w:sz="4" w:space="0" w:color="000000"/>
              <w:left w:val="nil"/>
              <w:bottom w:val="single" w:sz="4" w:space="0" w:color="000000"/>
              <w:right w:val="nil"/>
            </w:tcBorders>
            <w:shd w:val="clear" w:color="auto" w:fill="auto"/>
          </w:tcPr>
          <w:p w14:paraId="6E9D31D8" w14:textId="77777777" w:rsidR="00312FC6" w:rsidRPr="004C4F6D" w:rsidRDefault="00312FC6" w:rsidP="004C4F6D">
            <w:pPr>
              <w:spacing w:after="0" w:line="240" w:lineRule="auto"/>
              <w:ind w:right="140"/>
              <w:jc w:val="center"/>
              <w:rPr>
                <w:rFonts w:ascii="Arial" w:eastAsia="Arial Narrow" w:hAnsi="Arial" w:cs="Arial"/>
                <w:color w:val="000000"/>
                <w:sz w:val="20"/>
                <w:szCs w:val="20"/>
                <w:lang w:eastAsia="en-PH"/>
              </w:rPr>
            </w:pPr>
          </w:p>
        </w:tc>
        <w:tc>
          <w:tcPr>
            <w:tcW w:w="3543" w:type="dxa"/>
            <w:tcBorders>
              <w:top w:val="single" w:sz="4" w:space="0" w:color="000000"/>
              <w:left w:val="nil"/>
              <w:bottom w:val="single" w:sz="4" w:space="0" w:color="000000"/>
              <w:right w:val="nil"/>
            </w:tcBorders>
            <w:shd w:val="clear" w:color="auto" w:fill="auto"/>
          </w:tcPr>
          <w:p w14:paraId="1F8E20E2"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Reasons/ Causes of Non-Consolidation of Title</w:t>
            </w:r>
          </w:p>
        </w:tc>
        <w:tc>
          <w:tcPr>
            <w:tcW w:w="992" w:type="dxa"/>
            <w:tcBorders>
              <w:top w:val="single" w:sz="4" w:space="0" w:color="000000"/>
              <w:left w:val="nil"/>
              <w:bottom w:val="single" w:sz="4" w:space="0" w:color="000000"/>
              <w:right w:val="nil"/>
            </w:tcBorders>
            <w:shd w:val="clear" w:color="auto" w:fill="auto"/>
          </w:tcPr>
          <w:p w14:paraId="2A9049DB" w14:textId="3C511A49"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xml:space="preserve"> No. of </w:t>
            </w:r>
            <w:r w:rsidR="00482559" w:rsidRPr="004C4F6D">
              <w:rPr>
                <w:rFonts w:ascii="Arial" w:eastAsia="Arial Narrow" w:hAnsi="Arial" w:cs="Arial"/>
                <w:b/>
                <w:color w:val="000000"/>
                <w:sz w:val="20"/>
                <w:szCs w:val="20"/>
                <w:lang w:eastAsia="en-PH"/>
              </w:rPr>
              <w:t>T</w:t>
            </w:r>
            <w:r w:rsidRPr="004C4F6D">
              <w:rPr>
                <w:rFonts w:ascii="Arial" w:eastAsia="Arial Narrow" w:hAnsi="Arial" w:cs="Arial"/>
                <w:b/>
                <w:color w:val="000000"/>
                <w:sz w:val="20"/>
                <w:szCs w:val="20"/>
                <w:lang w:eastAsia="en-PH"/>
              </w:rPr>
              <w:t xml:space="preserve">itles </w:t>
            </w:r>
          </w:p>
        </w:tc>
        <w:tc>
          <w:tcPr>
            <w:tcW w:w="1985" w:type="dxa"/>
            <w:tcBorders>
              <w:top w:val="single" w:sz="4" w:space="0" w:color="000000"/>
              <w:left w:val="nil"/>
              <w:bottom w:val="single" w:sz="4" w:space="0" w:color="000000"/>
              <w:right w:val="nil"/>
            </w:tcBorders>
            <w:shd w:val="clear" w:color="auto" w:fill="auto"/>
          </w:tcPr>
          <w:p w14:paraId="7C6E2288"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xml:space="preserve"> Book Value Amount </w:t>
            </w:r>
          </w:p>
        </w:tc>
        <w:tc>
          <w:tcPr>
            <w:tcW w:w="1580" w:type="dxa"/>
            <w:tcBorders>
              <w:top w:val="single" w:sz="4" w:space="0" w:color="000000"/>
              <w:left w:val="nil"/>
              <w:bottom w:val="single" w:sz="4" w:space="0" w:color="000000"/>
              <w:right w:val="nil"/>
            </w:tcBorders>
            <w:shd w:val="clear" w:color="auto" w:fill="auto"/>
          </w:tcPr>
          <w:p w14:paraId="282FC2A7"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No. of Years from COS</w:t>
            </w:r>
          </w:p>
        </w:tc>
      </w:tr>
      <w:tr w:rsidR="00312FC6" w:rsidRPr="004C4F6D" w14:paraId="1225A7C9" w14:textId="77777777" w:rsidTr="002F1504">
        <w:trPr>
          <w:trHeight w:val="190"/>
        </w:trPr>
        <w:tc>
          <w:tcPr>
            <w:tcW w:w="630" w:type="dxa"/>
            <w:tcBorders>
              <w:top w:val="nil"/>
              <w:left w:val="nil"/>
              <w:bottom w:val="nil"/>
              <w:right w:val="nil"/>
            </w:tcBorders>
          </w:tcPr>
          <w:p w14:paraId="2412C7F4"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a</w:t>
            </w:r>
          </w:p>
        </w:tc>
        <w:tc>
          <w:tcPr>
            <w:tcW w:w="3543" w:type="dxa"/>
            <w:tcBorders>
              <w:top w:val="nil"/>
              <w:left w:val="nil"/>
              <w:bottom w:val="nil"/>
              <w:right w:val="nil"/>
            </w:tcBorders>
            <w:vAlign w:val="center"/>
          </w:tcPr>
          <w:p w14:paraId="7F8DA298" w14:textId="77777777" w:rsidR="00312FC6" w:rsidRPr="004C4F6D" w:rsidRDefault="003919DE" w:rsidP="004C4F6D">
            <w:pPr>
              <w:spacing w:after="0" w:line="240" w:lineRule="auto"/>
              <w:ind w:right="140"/>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Non-payment or no proof of payment of CGT/DST/Transfer Taxes</w:t>
            </w:r>
          </w:p>
        </w:tc>
        <w:tc>
          <w:tcPr>
            <w:tcW w:w="992" w:type="dxa"/>
            <w:tcBorders>
              <w:top w:val="nil"/>
              <w:left w:val="nil"/>
              <w:bottom w:val="nil"/>
              <w:right w:val="nil"/>
            </w:tcBorders>
            <w:vAlign w:val="center"/>
          </w:tcPr>
          <w:p w14:paraId="77A3A1F1"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1,182</w:t>
            </w:r>
          </w:p>
        </w:tc>
        <w:tc>
          <w:tcPr>
            <w:tcW w:w="1985" w:type="dxa"/>
            <w:tcBorders>
              <w:top w:val="nil"/>
              <w:left w:val="nil"/>
              <w:bottom w:val="nil"/>
              <w:right w:val="nil"/>
            </w:tcBorders>
            <w:vAlign w:val="center"/>
          </w:tcPr>
          <w:p w14:paraId="5B889D26" w14:textId="77777777" w:rsidR="00312FC6" w:rsidRPr="004C4F6D" w:rsidRDefault="003919DE" w:rsidP="004C4F6D">
            <w:pPr>
              <w:spacing w:after="0" w:line="240" w:lineRule="auto"/>
              <w:ind w:right="140"/>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551,676,783.76</w:t>
            </w:r>
          </w:p>
        </w:tc>
        <w:tc>
          <w:tcPr>
            <w:tcW w:w="1580" w:type="dxa"/>
            <w:tcBorders>
              <w:top w:val="nil"/>
              <w:left w:val="nil"/>
              <w:bottom w:val="nil"/>
              <w:right w:val="nil"/>
            </w:tcBorders>
            <w:vAlign w:val="center"/>
          </w:tcPr>
          <w:p w14:paraId="2301ABB9"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3-39</w:t>
            </w:r>
          </w:p>
        </w:tc>
      </w:tr>
      <w:tr w:rsidR="00312FC6" w:rsidRPr="004C4F6D" w14:paraId="3292C04C" w14:textId="77777777" w:rsidTr="002F1504">
        <w:trPr>
          <w:trHeight w:val="190"/>
        </w:trPr>
        <w:tc>
          <w:tcPr>
            <w:tcW w:w="630" w:type="dxa"/>
            <w:tcBorders>
              <w:top w:val="nil"/>
              <w:left w:val="nil"/>
              <w:bottom w:val="nil"/>
              <w:right w:val="nil"/>
            </w:tcBorders>
          </w:tcPr>
          <w:p w14:paraId="49A279C0"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b</w:t>
            </w:r>
          </w:p>
        </w:tc>
        <w:tc>
          <w:tcPr>
            <w:tcW w:w="3543" w:type="dxa"/>
            <w:tcBorders>
              <w:top w:val="nil"/>
              <w:left w:val="nil"/>
              <w:bottom w:val="nil"/>
              <w:right w:val="nil"/>
            </w:tcBorders>
          </w:tcPr>
          <w:p w14:paraId="79258946" w14:textId="77777777" w:rsidR="00312FC6" w:rsidRPr="004C4F6D" w:rsidRDefault="003919DE" w:rsidP="004C4F6D">
            <w:pPr>
              <w:spacing w:after="0" w:line="240" w:lineRule="auto"/>
              <w:ind w:right="140"/>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For updating of Tax Declaration, Tax Clearance, Certificate of No Improvement</w:t>
            </w:r>
          </w:p>
        </w:tc>
        <w:tc>
          <w:tcPr>
            <w:tcW w:w="992" w:type="dxa"/>
            <w:tcBorders>
              <w:top w:val="nil"/>
              <w:left w:val="nil"/>
              <w:bottom w:val="nil"/>
              <w:right w:val="nil"/>
            </w:tcBorders>
            <w:vAlign w:val="center"/>
          </w:tcPr>
          <w:p w14:paraId="30102A0F"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717</w:t>
            </w:r>
          </w:p>
        </w:tc>
        <w:tc>
          <w:tcPr>
            <w:tcW w:w="1985" w:type="dxa"/>
            <w:tcBorders>
              <w:top w:val="nil"/>
              <w:left w:val="nil"/>
              <w:bottom w:val="nil"/>
              <w:right w:val="nil"/>
            </w:tcBorders>
            <w:vAlign w:val="center"/>
          </w:tcPr>
          <w:p w14:paraId="772A3D04" w14:textId="77777777" w:rsidR="00312FC6" w:rsidRPr="004C4F6D" w:rsidRDefault="003919DE" w:rsidP="004C4F6D">
            <w:pPr>
              <w:spacing w:after="0" w:line="240" w:lineRule="auto"/>
              <w:ind w:right="140"/>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460,400,581.54</w:t>
            </w:r>
          </w:p>
        </w:tc>
        <w:tc>
          <w:tcPr>
            <w:tcW w:w="1580" w:type="dxa"/>
            <w:tcBorders>
              <w:top w:val="nil"/>
              <w:left w:val="nil"/>
              <w:bottom w:val="nil"/>
              <w:right w:val="nil"/>
            </w:tcBorders>
            <w:vAlign w:val="center"/>
          </w:tcPr>
          <w:p w14:paraId="2A73ABCE"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2-23</w:t>
            </w:r>
          </w:p>
        </w:tc>
      </w:tr>
      <w:tr w:rsidR="00312FC6" w:rsidRPr="004C4F6D" w14:paraId="52FD7819" w14:textId="77777777" w:rsidTr="002F1504">
        <w:trPr>
          <w:trHeight w:val="190"/>
        </w:trPr>
        <w:tc>
          <w:tcPr>
            <w:tcW w:w="630" w:type="dxa"/>
            <w:tcBorders>
              <w:top w:val="nil"/>
              <w:left w:val="nil"/>
              <w:bottom w:val="nil"/>
              <w:right w:val="nil"/>
            </w:tcBorders>
          </w:tcPr>
          <w:p w14:paraId="42E801DF"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c</w:t>
            </w:r>
          </w:p>
        </w:tc>
        <w:tc>
          <w:tcPr>
            <w:tcW w:w="3543" w:type="dxa"/>
            <w:tcBorders>
              <w:top w:val="nil"/>
              <w:left w:val="nil"/>
              <w:bottom w:val="nil"/>
              <w:right w:val="nil"/>
            </w:tcBorders>
            <w:vAlign w:val="center"/>
          </w:tcPr>
          <w:p w14:paraId="599C8ED1" w14:textId="77777777" w:rsidR="00312FC6" w:rsidRPr="004C4F6D" w:rsidRDefault="003919DE" w:rsidP="004C4F6D">
            <w:pPr>
              <w:spacing w:after="0" w:line="240" w:lineRule="auto"/>
              <w:ind w:right="140"/>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Properties acquired from NLDC and PCFC</w:t>
            </w:r>
          </w:p>
        </w:tc>
        <w:tc>
          <w:tcPr>
            <w:tcW w:w="992" w:type="dxa"/>
            <w:tcBorders>
              <w:top w:val="nil"/>
              <w:left w:val="nil"/>
              <w:bottom w:val="nil"/>
              <w:right w:val="nil"/>
            </w:tcBorders>
            <w:vAlign w:val="center"/>
          </w:tcPr>
          <w:p w14:paraId="661FDAB7"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137</w:t>
            </w:r>
          </w:p>
        </w:tc>
        <w:tc>
          <w:tcPr>
            <w:tcW w:w="1985" w:type="dxa"/>
            <w:tcBorders>
              <w:top w:val="nil"/>
              <w:left w:val="nil"/>
              <w:bottom w:val="nil"/>
              <w:right w:val="nil"/>
            </w:tcBorders>
            <w:vAlign w:val="center"/>
          </w:tcPr>
          <w:p w14:paraId="6F1682CF" w14:textId="77777777" w:rsidR="00312FC6" w:rsidRPr="004C4F6D" w:rsidRDefault="003919DE" w:rsidP="004C4F6D">
            <w:pPr>
              <w:spacing w:after="0" w:line="240" w:lineRule="auto"/>
              <w:ind w:right="140"/>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96,632,816.19</w:t>
            </w:r>
          </w:p>
        </w:tc>
        <w:tc>
          <w:tcPr>
            <w:tcW w:w="1580" w:type="dxa"/>
            <w:tcBorders>
              <w:top w:val="nil"/>
              <w:left w:val="nil"/>
              <w:bottom w:val="nil"/>
              <w:right w:val="nil"/>
            </w:tcBorders>
            <w:vAlign w:val="center"/>
          </w:tcPr>
          <w:p w14:paraId="4DA5215B"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4-5</w:t>
            </w:r>
          </w:p>
        </w:tc>
      </w:tr>
      <w:tr w:rsidR="00312FC6" w:rsidRPr="004C4F6D" w14:paraId="4C2DABF2" w14:textId="77777777" w:rsidTr="002F1504">
        <w:trPr>
          <w:trHeight w:val="1221"/>
        </w:trPr>
        <w:tc>
          <w:tcPr>
            <w:tcW w:w="630" w:type="dxa"/>
            <w:tcBorders>
              <w:top w:val="nil"/>
              <w:left w:val="nil"/>
              <w:bottom w:val="nil"/>
              <w:right w:val="nil"/>
            </w:tcBorders>
          </w:tcPr>
          <w:p w14:paraId="60F54154"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d</w:t>
            </w:r>
          </w:p>
        </w:tc>
        <w:tc>
          <w:tcPr>
            <w:tcW w:w="3543" w:type="dxa"/>
            <w:tcBorders>
              <w:top w:val="nil"/>
              <w:left w:val="nil"/>
              <w:bottom w:val="nil"/>
              <w:right w:val="nil"/>
            </w:tcBorders>
            <w:vAlign w:val="center"/>
          </w:tcPr>
          <w:p w14:paraId="3BD82316" w14:textId="77777777" w:rsidR="00312FC6" w:rsidRPr="004C4F6D" w:rsidRDefault="003919DE" w:rsidP="004C4F6D">
            <w:pPr>
              <w:spacing w:after="0" w:line="240" w:lineRule="auto"/>
              <w:ind w:right="140"/>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No TIN nos. of previous owners/individual sub-borrowers, partition agreement, Certificate of Management, Individual Lot Plans, no original copy of Dacion en Pago</w:t>
            </w:r>
          </w:p>
        </w:tc>
        <w:tc>
          <w:tcPr>
            <w:tcW w:w="992" w:type="dxa"/>
            <w:tcBorders>
              <w:top w:val="nil"/>
              <w:left w:val="nil"/>
              <w:bottom w:val="nil"/>
              <w:right w:val="nil"/>
            </w:tcBorders>
            <w:vAlign w:val="center"/>
          </w:tcPr>
          <w:p w14:paraId="6DC6C839"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98</w:t>
            </w:r>
          </w:p>
        </w:tc>
        <w:tc>
          <w:tcPr>
            <w:tcW w:w="1985" w:type="dxa"/>
            <w:tcBorders>
              <w:top w:val="nil"/>
              <w:left w:val="nil"/>
              <w:bottom w:val="nil"/>
              <w:right w:val="nil"/>
            </w:tcBorders>
            <w:vAlign w:val="center"/>
          </w:tcPr>
          <w:p w14:paraId="7DFC2C9D" w14:textId="77777777" w:rsidR="00312FC6" w:rsidRPr="004C4F6D" w:rsidRDefault="003919DE" w:rsidP="004C4F6D">
            <w:pPr>
              <w:spacing w:after="0" w:line="240" w:lineRule="auto"/>
              <w:ind w:right="140"/>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28,525,161.29</w:t>
            </w:r>
          </w:p>
        </w:tc>
        <w:tc>
          <w:tcPr>
            <w:tcW w:w="1580" w:type="dxa"/>
            <w:tcBorders>
              <w:top w:val="nil"/>
              <w:left w:val="nil"/>
              <w:bottom w:val="nil"/>
              <w:right w:val="nil"/>
            </w:tcBorders>
            <w:vAlign w:val="center"/>
          </w:tcPr>
          <w:p w14:paraId="4E487141"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2-35</w:t>
            </w:r>
          </w:p>
        </w:tc>
      </w:tr>
      <w:tr w:rsidR="00312FC6" w:rsidRPr="004C4F6D" w14:paraId="2645672C" w14:textId="77777777" w:rsidTr="002F1504">
        <w:trPr>
          <w:trHeight w:val="190"/>
        </w:trPr>
        <w:tc>
          <w:tcPr>
            <w:tcW w:w="630" w:type="dxa"/>
            <w:tcBorders>
              <w:top w:val="nil"/>
              <w:left w:val="nil"/>
              <w:bottom w:val="nil"/>
              <w:right w:val="nil"/>
            </w:tcBorders>
          </w:tcPr>
          <w:p w14:paraId="0F2A3AE2"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e</w:t>
            </w:r>
          </w:p>
        </w:tc>
        <w:tc>
          <w:tcPr>
            <w:tcW w:w="3543" w:type="dxa"/>
            <w:tcBorders>
              <w:top w:val="nil"/>
              <w:left w:val="nil"/>
              <w:bottom w:val="nil"/>
              <w:right w:val="nil"/>
            </w:tcBorders>
            <w:vAlign w:val="center"/>
          </w:tcPr>
          <w:p w14:paraId="6221AD04" w14:textId="77777777" w:rsidR="00312FC6" w:rsidRPr="004C4F6D" w:rsidRDefault="003919DE" w:rsidP="004C4F6D">
            <w:pPr>
              <w:spacing w:after="0" w:line="240" w:lineRule="auto"/>
              <w:ind w:right="140"/>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For completion of required documents by Lending Center/Units (lacking documents not provided)</w:t>
            </w:r>
          </w:p>
        </w:tc>
        <w:tc>
          <w:tcPr>
            <w:tcW w:w="992" w:type="dxa"/>
            <w:tcBorders>
              <w:top w:val="nil"/>
              <w:left w:val="nil"/>
              <w:bottom w:val="nil"/>
              <w:right w:val="nil"/>
            </w:tcBorders>
            <w:vAlign w:val="center"/>
          </w:tcPr>
          <w:p w14:paraId="40F76625"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79</w:t>
            </w:r>
          </w:p>
        </w:tc>
        <w:tc>
          <w:tcPr>
            <w:tcW w:w="1985" w:type="dxa"/>
            <w:tcBorders>
              <w:top w:val="nil"/>
              <w:left w:val="nil"/>
              <w:bottom w:val="nil"/>
              <w:right w:val="nil"/>
            </w:tcBorders>
            <w:vAlign w:val="center"/>
          </w:tcPr>
          <w:p w14:paraId="6E165E4C" w14:textId="77777777" w:rsidR="00312FC6" w:rsidRPr="004C4F6D" w:rsidRDefault="003919DE" w:rsidP="004C4F6D">
            <w:pPr>
              <w:spacing w:after="0" w:line="240" w:lineRule="auto"/>
              <w:ind w:right="140"/>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82,056,792.16</w:t>
            </w:r>
          </w:p>
        </w:tc>
        <w:tc>
          <w:tcPr>
            <w:tcW w:w="1580" w:type="dxa"/>
            <w:tcBorders>
              <w:top w:val="nil"/>
              <w:left w:val="nil"/>
              <w:bottom w:val="nil"/>
              <w:right w:val="nil"/>
            </w:tcBorders>
            <w:vAlign w:val="center"/>
          </w:tcPr>
          <w:p w14:paraId="6B2C8709"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2-37</w:t>
            </w:r>
          </w:p>
        </w:tc>
      </w:tr>
      <w:tr w:rsidR="00312FC6" w:rsidRPr="004C4F6D" w14:paraId="6EB0DA6B" w14:textId="77777777" w:rsidTr="002F1504">
        <w:trPr>
          <w:trHeight w:val="331"/>
        </w:trPr>
        <w:tc>
          <w:tcPr>
            <w:tcW w:w="630" w:type="dxa"/>
            <w:tcBorders>
              <w:top w:val="nil"/>
              <w:left w:val="nil"/>
              <w:bottom w:val="nil"/>
              <w:right w:val="nil"/>
            </w:tcBorders>
          </w:tcPr>
          <w:p w14:paraId="4F93C30C"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f</w:t>
            </w:r>
          </w:p>
        </w:tc>
        <w:tc>
          <w:tcPr>
            <w:tcW w:w="3543" w:type="dxa"/>
            <w:tcBorders>
              <w:top w:val="nil"/>
              <w:left w:val="nil"/>
              <w:bottom w:val="nil"/>
              <w:right w:val="nil"/>
            </w:tcBorders>
            <w:vAlign w:val="center"/>
          </w:tcPr>
          <w:p w14:paraId="72AE88CF" w14:textId="77777777" w:rsidR="00312FC6" w:rsidRPr="004C4F6D" w:rsidRDefault="003919DE" w:rsidP="004C4F6D">
            <w:pPr>
              <w:spacing w:after="0" w:line="240" w:lineRule="auto"/>
              <w:ind w:right="140"/>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Properties acquired from OFBank</w:t>
            </w:r>
          </w:p>
        </w:tc>
        <w:tc>
          <w:tcPr>
            <w:tcW w:w="992" w:type="dxa"/>
            <w:tcBorders>
              <w:top w:val="nil"/>
              <w:left w:val="nil"/>
              <w:bottom w:val="nil"/>
              <w:right w:val="nil"/>
            </w:tcBorders>
            <w:vAlign w:val="center"/>
          </w:tcPr>
          <w:p w14:paraId="2CC36B28"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55</w:t>
            </w:r>
          </w:p>
        </w:tc>
        <w:tc>
          <w:tcPr>
            <w:tcW w:w="1985" w:type="dxa"/>
            <w:tcBorders>
              <w:top w:val="nil"/>
              <w:left w:val="nil"/>
              <w:bottom w:val="nil"/>
              <w:right w:val="nil"/>
            </w:tcBorders>
            <w:vAlign w:val="center"/>
          </w:tcPr>
          <w:p w14:paraId="5FF29E0B" w14:textId="77777777" w:rsidR="00312FC6" w:rsidRPr="004C4F6D" w:rsidRDefault="003919DE" w:rsidP="004C4F6D">
            <w:pPr>
              <w:spacing w:after="0" w:line="240" w:lineRule="auto"/>
              <w:ind w:right="140"/>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113,352,259.88</w:t>
            </w:r>
          </w:p>
        </w:tc>
        <w:tc>
          <w:tcPr>
            <w:tcW w:w="1580" w:type="dxa"/>
            <w:tcBorders>
              <w:top w:val="nil"/>
              <w:left w:val="nil"/>
              <w:bottom w:val="nil"/>
              <w:right w:val="nil"/>
            </w:tcBorders>
            <w:vAlign w:val="center"/>
          </w:tcPr>
          <w:p w14:paraId="79A5F4E4"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3</w:t>
            </w:r>
          </w:p>
        </w:tc>
      </w:tr>
      <w:tr w:rsidR="00312FC6" w:rsidRPr="004C4F6D" w14:paraId="75CEF1C7" w14:textId="77777777" w:rsidTr="002F1504">
        <w:trPr>
          <w:trHeight w:val="190"/>
        </w:trPr>
        <w:tc>
          <w:tcPr>
            <w:tcW w:w="630" w:type="dxa"/>
            <w:tcBorders>
              <w:top w:val="nil"/>
              <w:left w:val="nil"/>
              <w:bottom w:val="single" w:sz="4" w:space="0" w:color="auto"/>
              <w:right w:val="nil"/>
            </w:tcBorders>
          </w:tcPr>
          <w:p w14:paraId="11B82400"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g</w:t>
            </w:r>
          </w:p>
        </w:tc>
        <w:tc>
          <w:tcPr>
            <w:tcW w:w="3543" w:type="dxa"/>
            <w:tcBorders>
              <w:top w:val="nil"/>
              <w:left w:val="nil"/>
              <w:bottom w:val="single" w:sz="4" w:space="0" w:color="auto"/>
              <w:right w:val="nil"/>
            </w:tcBorders>
            <w:vAlign w:val="center"/>
          </w:tcPr>
          <w:p w14:paraId="6049C17B" w14:textId="77777777" w:rsidR="00312FC6" w:rsidRPr="004C4F6D" w:rsidRDefault="003919DE" w:rsidP="004C4F6D">
            <w:pPr>
              <w:spacing w:after="0" w:line="240" w:lineRule="auto"/>
              <w:ind w:right="140"/>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No existing title/dummy title/untitled/same TCT as other ROPA</w:t>
            </w:r>
          </w:p>
        </w:tc>
        <w:tc>
          <w:tcPr>
            <w:tcW w:w="992" w:type="dxa"/>
            <w:tcBorders>
              <w:top w:val="nil"/>
              <w:left w:val="nil"/>
              <w:bottom w:val="single" w:sz="4" w:space="0" w:color="auto"/>
              <w:right w:val="nil"/>
            </w:tcBorders>
            <w:vAlign w:val="center"/>
          </w:tcPr>
          <w:p w14:paraId="08906F58"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47</w:t>
            </w:r>
          </w:p>
        </w:tc>
        <w:tc>
          <w:tcPr>
            <w:tcW w:w="1985" w:type="dxa"/>
            <w:tcBorders>
              <w:top w:val="nil"/>
              <w:left w:val="nil"/>
              <w:bottom w:val="single" w:sz="4" w:space="0" w:color="auto"/>
              <w:right w:val="nil"/>
            </w:tcBorders>
          </w:tcPr>
          <w:p w14:paraId="7977D6C3" w14:textId="77777777" w:rsidR="00AD5E9E" w:rsidRPr="004C4F6D" w:rsidRDefault="00AD5E9E" w:rsidP="004C4F6D">
            <w:pPr>
              <w:spacing w:after="0" w:line="240" w:lineRule="auto"/>
              <w:ind w:right="140"/>
              <w:jc w:val="right"/>
              <w:rPr>
                <w:rFonts w:ascii="Arial" w:eastAsia="Arial Narrow" w:hAnsi="Arial" w:cs="Arial"/>
                <w:color w:val="000000"/>
                <w:sz w:val="20"/>
                <w:szCs w:val="20"/>
                <w:lang w:eastAsia="en-PH"/>
              </w:rPr>
            </w:pPr>
          </w:p>
          <w:p w14:paraId="280C2669" w14:textId="49811E65" w:rsidR="00312FC6" w:rsidRPr="004C4F6D" w:rsidRDefault="003919DE" w:rsidP="004C4F6D">
            <w:pPr>
              <w:spacing w:after="0" w:line="240" w:lineRule="auto"/>
              <w:ind w:right="140"/>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27,853,546.65</w:t>
            </w:r>
          </w:p>
        </w:tc>
        <w:tc>
          <w:tcPr>
            <w:tcW w:w="1580" w:type="dxa"/>
            <w:tcBorders>
              <w:top w:val="nil"/>
              <w:left w:val="nil"/>
              <w:bottom w:val="single" w:sz="4" w:space="0" w:color="auto"/>
              <w:right w:val="nil"/>
            </w:tcBorders>
            <w:vAlign w:val="center"/>
          </w:tcPr>
          <w:p w14:paraId="752A60C2" w14:textId="77777777" w:rsidR="00312FC6" w:rsidRPr="004C4F6D" w:rsidRDefault="003919DE" w:rsidP="004C4F6D">
            <w:pPr>
              <w:spacing w:after="0" w:line="240" w:lineRule="auto"/>
              <w:ind w:right="140"/>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6-19</w:t>
            </w:r>
          </w:p>
        </w:tc>
      </w:tr>
      <w:tr w:rsidR="00312FC6" w:rsidRPr="004C4F6D" w14:paraId="18AA33AA" w14:textId="77777777" w:rsidTr="002F1504">
        <w:trPr>
          <w:trHeight w:val="190"/>
        </w:trPr>
        <w:tc>
          <w:tcPr>
            <w:tcW w:w="630" w:type="dxa"/>
            <w:tcBorders>
              <w:top w:val="single" w:sz="4" w:space="0" w:color="auto"/>
              <w:left w:val="nil"/>
              <w:bottom w:val="double" w:sz="4" w:space="0" w:color="auto"/>
              <w:right w:val="nil"/>
            </w:tcBorders>
          </w:tcPr>
          <w:p w14:paraId="1F1E5083" w14:textId="77777777" w:rsidR="00312FC6" w:rsidRPr="004C4F6D" w:rsidRDefault="00312FC6" w:rsidP="004C4F6D">
            <w:pPr>
              <w:spacing w:after="0" w:line="240" w:lineRule="auto"/>
              <w:ind w:right="140"/>
              <w:rPr>
                <w:rFonts w:ascii="Arial" w:eastAsia="Arial Narrow" w:hAnsi="Arial" w:cs="Arial"/>
                <w:color w:val="000000"/>
                <w:sz w:val="20"/>
                <w:szCs w:val="20"/>
                <w:lang w:eastAsia="en-PH"/>
              </w:rPr>
            </w:pPr>
          </w:p>
        </w:tc>
        <w:tc>
          <w:tcPr>
            <w:tcW w:w="3543" w:type="dxa"/>
            <w:tcBorders>
              <w:top w:val="single" w:sz="4" w:space="0" w:color="auto"/>
              <w:left w:val="nil"/>
              <w:bottom w:val="double" w:sz="4" w:space="0" w:color="auto"/>
              <w:right w:val="nil"/>
            </w:tcBorders>
          </w:tcPr>
          <w:p w14:paraId="690376BF" w14:textId="77777777" w:rsidR="00312FC6" w:rsidRPr="004C4F6D" w:rsidRDefault="003919DE" w:rsidP="004C4F6D">
            <w:pPr>
              <w:spacing w:after="0" w:line="240" w:lineRule="auto"/>
              <w:ind w:right="140"/>
              <w:rPr>
                <w:rFonts w:ascii="Arial" w:eastAsia="Arial Narrow" w:hAnsi="Arial" w:cs="Arial"/>
                <w:b/>
                <w:color w:val="000000"/>
                <w:sz w:val="20"/>
                <w:szCs w:val="20"/>
                <w:lang w:eastAsia="en-PH"/>
              </w:rPr>
            </w:pPr>
            <w:r w:rsidRPr="004C4F6D">
              <w:rPr>
                <w:rFonts w:ascii="Arial" w:eastAsia="Arial Narrow" w:hAnsi="Arial" w:cs="Arial"/>
                <w:b/>
                <w:color w:val="000000"/>
                <w:sz w:val="20"/>
                <w:szCs w:val="20"/>
                <w:lang w:eastAsia="en-PH"/>
              </w:rPr>
              <w:t>TOTAL</w:t>
            </w:r>
          </w:p>
        </w:tc>
        <w:tc>
          <w:tcPr>
            <w:tcW w:w="992" w:type="dxa"/>
            <w:tcBorders>
              <w:top w:val="single" w:sz="4" w:space="0" w:color="auto"/>
              <w:left w:val="nil"/>
              <w:bottom w:val="double" w:sz="4" w:space="0" w:color="auto"/>
              <w:right w:val="nil"/>
            </w:tcBorders>
            <w:vAlign w:val="center"/>
          </w:tcPr>
          <w:p w14:paraId="44EF7054" w14:textId="77777777" w:rsidR="00312FC6" w:rsidRPr="004C4F6D" w:rsidRDefault="003919DE" w:rsidP="004C4F6D">
            <w:pPr>
              <w:spacing w:after="0" w:line="240" w:lineRule="auto"/>
              <w:ind w:right="140"/>
              <w:jc w:val="center"/>
              <w:rPr>
                <w:rFonts w:ascii="Arial" w:eastAsia="Arial Narrow" w:hAnsi="Arial" w:cs="Arial"/>
                <w:b/>
                <w:color w:val="000000"/>
                <w:sz w:val="20"/>
                <w:szCs w:val="20"/>
                <w:lang w:eastAsia="en-PH"/>
              </w:rPr>
            </w:pPr>
            <w:r w:rsidRPr="004C4F6D">
              <w:rPr>
                <w:rFonts w:ascii="Arial" w:eastAsia="Arial Narrow" w:hAnsi="Arial" w:cs="Arial"/>
                <w:b/>
                <w:color w:val="000000"/>
                <w:sz w:val="20"/>
                <w:szCs w:val="20"/>
                <w:lang w:eastAsia="en-PH"/>
              </w:rPr>
              <w:t>2,315</w:t>
            </w:r>
          </w:p>
        </w:tc>
        <w:tc>
          <w:tcPr>
            <w:tcW w:w="1985" w:type="dxa"/>
            <w:tcBorders>
              <w:top w:val="single" w:sz="4" w:space="0" w:color="auto"/>
              <w:left w:val="nil"/>
              <w:bottom w:val="double" w:sz="4" w:space="0" w:color="auto"/>
              <w:right w:val="nil"/>
            </w:tcBorders>
            <w:vAlign w:val="center"/>
          </w:tcPr>
          <w:p w14:paraId="30B5126B" w14:textId="77777777" w:rsidR="00312FC6" w:rsidRPr="004C4F6D" w:rsidRDefault="003919DE" w:rsidP="004C4F6D">
            <w:pPr>
              <w:spacing w:after="0" w:line="240" w:lineRule="auto"/>
              <w:ind w:right="140"/>
              <w:jc w:val="right"/>
              <w:rPr>
                <w:rFonts w:ascii="Arial" w:eastAsia="Arial Narrow" w:hAnsi="Arial" w:cs="Arial"/>
                <w:b/>
                <w:color w:val="000000"/>
                <w:sz w:val="20"/>
                <w:szCs w:val="20"/>
                <w:lang w:eastAsia="en-PH"/>
              </w:rPr>
            </w:pPr>
            <w:r w:rsidRPr="004C4F6D">
              <w:rPr>
                <w:rFonts w:ascii="Arial" w:eastAsia="Arial Narrow" w:hAnsi="Arial" w:cs="Arial"/>
                <w:b/>
                <w:color w:val="000000"/>
                <w:sz w:val="20"/>
                <w:szCs w:val="20"/>
                <w:lang w:eastAsia="en-PH"/>
              </w:rPr>
              <w:t xml:space="preserve">1,360,497,941.47 </w:t>
            </w:r>
          </w:p>
        </w:tc>
        <w:tc>
          <w:tcPr>
            <w:tcW w:w="1580" w:type="dxa"/>
            <w:tcBorders>
              <w:top w:val="single" w:sz="4" w:space="0" w:color="auto"/>
              <w:left w:val="nil"/>
              <w:bottom w:val="double" w:sz="4" w:space="0" w:color="auto"/>
              <w:right w:val="nil"/>
            </w:tcBorders>
            <w:vAlign w:val="center"/>
          </w:tcPr>
          <w:p w14:paraId="2D906CC9" w14:textId="77777777" w:rsidR="00312FC6" w:rsidRPr="004C4F6D" w:rsidRDefault="003919DE" w:rsidP="004C4F6D">
            <w:pPr>
              <w:spacing w:after="0" w:line="240" w:lineRule="auto"/>
              <w:ind w:right="140"/>
              <w:jc w:val="center"/>
              <w:rPr>
                <w:rFonts w:ascii="Arial" w:eastAsia="Arial Narrow" w:hAnsi="Arial" w:cs="Arial"/>
                <w:b/>
                <w:color w:val="000000"/>
                <w:sz w:val="20"/>
                <w:szCs w:val="20"/>
                <w:lang w:eastAsia="en-PH"/>
              </w:rPr>
            </w:pPr>
            <w:r w:rsidRPr="004C4F6D">
              <w:rPr>
                <w:rFonts w:ascii="Arial" w:eastAsia="Arial Narrow" w:hAnsi="Arial" w:cs="Arial"/>
                <w:b/>
                <w:color w:val="000000"/>
                <w:sz w:val="20"/>
                <w:szCs w:val="20"/>
                <w:lang w:eastAsia="en-PH"/>
              </w:rPr>
              <w:t>2-39</w:t>
            </w:r>
          </w:p>
        </w:tc>
      </w:tr>
    </w:tbl>
    <w:p w14:paraId="343BDB5C" w14:textId="77777777" w:rsidR="00312FC6" w:rsidRPr="004C4F6D" w:rsidRDefault="00312FC6" w:rsidP="004C4F6D">
      <w:pPr>
        <w:tabs>
          <w:tab w:val="left" w:pos="1097"/>
          <w:tab w:val="left" w:pos="2127"/>
        </w:tabs>
        <w:spacing w:after="0" w:line="240" w:lineRule="auto"/>
        <w:jc w:val="both"/>
        <w:rPr>
          <w:rFonts w:ascii="Arial" w:eastAsia="Arial Narrow" w:hAnsi="Arial" w:cs="Arial"/>
          <w:color w:val="000000"/>
        </w:rPr>
      </w:pPr>
    </w:p>
    <w:p w14:paraId="775B20A6" w14:textId="0A0C15E5" w:rsidR="00312FC6" w:rsidRPr="004C4F6D" w:rsidRDefault="003919DE" w:rsidP="004C4F6D">
      <w:pPr>
        <w:numPr>
          <w:ilvl w:val="7"/>
          <w:numId w:val="23"/>
        </w:numPr>
        <w:tabs>
          <w:tab w:val="left" w:pos="1097"/>
          <w:tab w:val="left" w:pos="2127"/>
        </w:tabs>
        <w:spacing w:after="0" w:line="240" w:lineRule="auto"/>
        <w:jc w:val="both"/>
        <w:rPr>
          <w:rFonts w:ascii="Arial" w:eastAsia="Arial Narrow" w:hAnsi="Arial" w:cs="Arial"/>
          <w:color w:val="000000"/>
        </w:rPr>
      </w:pPr>
      <w:r w:rsidRPr="004C4F6D">
        <w:rPr>
          <w:rFonts w:ascii="Arial" w:eastAsia="Arial Narrow" w:hAnsi="Arial" w:cs="Arial"/>
          <w:color w:val="000000"/>
        </w:rPr>
        <w:t xml:space="preserve"> 1,182 titles </w:t>
      </w:r>
      <w:r w:rsidR="00482559" w:rsidRPr="004C4F6D">
        <w:rPr>
          <w:rFonts w:ascii="Arial" w:eastAsia="Arial Narrow" w:hAnsi="Arial" w:cs="Arial"/>
          <w:color w:val="000000"/>
        </w:rPr>
        <w:t xml:space="preserve">have </w:t>
      </w:r>
      <w:r w:rsidRPr="004C4F6D">
        <w:rPr>
          <w:rFonts w:ascii="Arial" w:eastAsia="Arial Narrow" w:hAnsi="Arial" w:cs="Arial"/>
          <w:color w:val="000000"/>
        </w:rPr>
        <w:t xml:space="preserve">incomplete documents relative to payment of Capital Gains Tax (CGT), Documentary Stamp Tax (DST), transfer tax, and penalty. Despite </w:t>
      </w:r>
      <w:r w:rsidR="00482559" w:rsidRPr="004C4F6D">
        <w:rPr>
          <w:rFonts w:ascii="Arial" w:eastAsia="Arial Narrow" w:hAnsi="Arial" w:cs="Arial"/>
          <w:color w:val="000000"/>
        </w:rPr>
        <w:t xml:space="preserve">of </w:t>
      </w:r>
      <w:r w:rsidRPr="004C4F6D">
        <w:rPr>
          <w:rFonts w:ascii="Arial" w:eastAsia="Arial Narrow" w:hAnsi="Arial" w:cs="Arial"/>
          <w:color w:val="000000"/>
        </w:rPr>
        <w:t xml:space="preserve">Bank efforts, no proofs of payment were secured from various Lending Centers/Lending Units </w:t>
      </w:r>
      <w:r w:rsidR="00281476">
        <w:rPr>
          <w:rFonts w:ascii="Arial" w:eastAsia="Arial Narrow" w:hAnsi="Arial" w:cs="Arial"/>
          <w:color w:val="000000"/>
        </w:rPr>
        <w:t xml:space="preserve">(LC/LU) </w:t>
      </w:r>
      <w:r w:rsidRPr="004C4F6D">
        <w:rPr>
          <w:rFonts w:ascii="Arial" w:eastAsia="Arial Narrow" w:hAnsi="Arial" w:cs="Arial"/>
          <w:color w:val="000000"/>
        </w:rPr>
        <w:t>and BIR, which are n</w:t>
      </w:r>
      <w:r w:rsidR="00482559" w:rsidRPr="004C4F6D">
        <w:rPr>
          <w:rFonts w:ascii="Arial" w:eastAsia="Arial Narrow" w:hAnsi="Arial" w:cs="Arial"/>
          <w:color w:val="000000"/>
        </w:rPr>
        <w:t>ecessary</w:t>
      </w:r>
      <w:r w:rsidRPr="004C4F6D">
        <w:rPr>
          <w:rFonts w:ascii="Arial" w:eastAsia="Arial Narrow" w:hAnsi="Arial" w:cs="Arial"/>
          <w:color w:val="000000"/>
        </w:rPr>
        <w:t xml:space="preserve"> </w:t>
      </w:r>
      <w:r w:rsidR="00482559" w:rsidRPr="004C4F6D">
        <w:rPr>
          <w:rFonts w:ascii="Arial" w:eastAsia="Arial Narrow" w:hAnsi="Arial" w:cs="Arial"/>
          <w:color w:val="000000"/>
        </w:rPr>
        <w:t>in</w:t>
      </w:r>
      <w:r w:rsidRPr="004C4F6D">
        <w:rPr>
          <w:rFonts w:ascii="Arial" w:eastAsia="Arial Narrow" w:hAnsi="Arial" w:cs="Arial"/>
          <w:color w:val="000000"/>
        </w:rPr>
        <w:t xml:space="preserve"> the filing at Registry of Deeds (ROD) for the issuance of new land title.</w:t>
      </w:r>
    </w:p>
    <w:p w14:paraId="7E008466" w14:textId="77777777" w:rsidR="00312FC6" w:rsidRPr="004C4F6D" w:rsidRDefault="00312FC6" w:rsidP="004C4F6D">
      <w:pPr>
        <w:tabs>
          <w:tab w:val="left" w:pos="1097"/>
          <w:tab w:val="left" w:pos="2127"/>
        </w:tabs>
        <w:spacing w:after="0" w:line="240" w:lineRule="auto"/>
        <w:ind w:left="1170" w:right="140"/>
        <w:jc w:val="both"/>
        <w:rPr>
          <w:rFonts w:ascii="Arial" w:eastAsia="Arial Narrow" w:hAnsi="Arial" w:cs="Arial"/>
          <w:color w:val="000000"/>
        </w:rPr>
      </w:pPr>
    </w:p>
    <w:p w14:paraId="74E4463F" w14:textId="2EA400F4" w:rsidR="00312FC6" w:rsidRPr="004C4F6D" w:rsidRDefault="003919DE" w:rsidP="004C4F6D">
      <w:pPr>
        <w:numPr>
          <w:ilvl w:val="7"/>
          <w:numId w:val="23"/>
        </w:numPr>
        <w:tabs>
          <w:tab w:val="left" w:pos="1097"/>
          <w:tab w:val="left" w:pos="2127"/>
        </w:tabs>
        <w:spacing w:after="0" w:line="240" w:lineRule="auto"/>
        <w:jc w:val="both"/>
        <w:rPr>
          <w:rFonts w:ascii="Arial" w:eastAsia="Arial Narrow" w:hAnsi="Arial" w:cs="Arial"/>
          <w:color w:val="000000"/>
        </w:rPr>
      </w:pPr>
      <w:r w:rsidRPr="004C4F6D">
        <w:rPr>
          <w:rFonts w:ascii="Arial" w:eastAsia="Arial Narrow" w:hAnsi="Arial" w:cs="Arial"/>
          <w:color w:val="000000"/>
        </w:rPr>
        <w:t xml:space="preserve"> 717 titles </w:t>
      </w:r>
      <w:r w:rsidR="00482559" w:rsidRPr="004C4F6D">
        <w:rPr>
          <w:rFonts w:ascii="Arial" w:eastAsia="Arial Narrow" w:hAnsi="Arial" w:cs="Arial"/>
          <w:color w:val="000000"/>
        </w:rPr>
        <w:t>require</w:t>
      </w:r>
      <w:r w:rsidR="005A0EFF" w:rsidRPr="004C4F6D">
        <w:rPr>
          <w:rFonts w:ascii="Arial" w:eastAsia="Arial Narrow" w:hAnsi="Arial" w:cs="Arial"/>
          <w:color w:val="000000"/>
        </w:rPr>
        <w:t>d</w:t>
      </w:r>
      <w:r w:rsidR="00482559" w:rsidRPr="004C4F6D">
        <w:rPr>
          <w:rFonts w:ascii="Arial" w:eastAsia="Arial Narrow" w:hAnsi="Arial" w:cs="Arial"/>
          <w:color w:val="000000"/>
        </w:rPr>
        <w:t xml:space="preserve"> the </w:t>
      </w:r>
      <w:r w:rsidRPr="004C4F6D">
        <w:rPr>
          <w:rFonts w:ascii="Arial" w:eastAsia="Arial Narrow" w:hAnsi="Arial" w:cs="Arial"/>
          <w:color w:val="000000"/>
        </w:rPr>
        <w:t>updat</w:t>
      </w:r>
      <w:r w:rsidR="00482559" w:rsidRPr="004C4F6D">
        <w:rPr>
          <w:rFonts w:ascii="Arial" w:eastAsia="Arial Narrow" w:hAnsi="Arial" w:cs="Arial"/>
          <w:color w:val="000000"/>
        </w:rPr>
        <w:t>ed</w:t>
      </w:r>
      <w:r w:rsidRPr="004C4F6D">
        <w:rPr>
          <w:rFonts w:ascii="Arial" w:eastAsia="Arial Narrow" w:hAnsi="Arial" w:cs="Arial"/>
          <w:color w:val="000000"/>
        </w:rPr>
        <w:t xml:space="preserve"> Bank of Tax Declaration, Tax Clearance, and Certificate of </w:t>
      </w:r>
      <w:r w:rsidR="00482559" w:rsidRPr="004C4F6D">
        <w:rPr>
          <w:rFonts w:ascii="Arial" w:eastAsia="Arial Narrow" w:hAnsi="Arial" w:cs="Arial"/>
          <w:color w:val="000000"/>
        </w:rPr>
        <w:t>N</w:t>
      </w:r>
      <w:r w:rsidRPr="004C4F6D">
        <w:rPr>
          <w:rFonts w:ascii="Arial" w:eastAsia="Arial Narrow" w:hAnsi="Arial" w:cs="Arial"/>
          <w:color w:val="000000"/>
        </w:rPr>
        <w:t xml:space="preserve">o </w:t>
      </w:r>
      <w:r w:rsidR="00482559" w:rsidRPr="004C4F6D">
        <w:rPr>
          <w:rFonts w:ascii="Arial" w:eastAsia="Arial Narrow" w:hAnsi="Arial" w:cs="Arial"/>
          <w:color w:val="000000"/>
        </w:rPr>
        <w:t>I</w:t>
      </w:r>
      <w:r w:rsidRPr="004C4F6D">
        <w:rPr>
          <w:rFonts w:ascii="Arial" w:eastAsia="Arial Narrow" w:hAnsi="Arial" w:cs="Arial"/>
          <w:color w:val="000000"/>
        </w:rPr>
        <w:t xml:space="preserve">mprovement for </w:t>
      </w:r>
      <w:r w:rsidR="00482559" w:rsidRPr="004C4F6D">
        <w:rPr>
          <w:rFonts w:ascii="Arial" w:eastAsia="Arial Narrow" w:hAnsi="Arial" w:cs="Arial"/>
          <w:color w:val="000000"/>
        </w:rPr>
        <w:t xml:space="preserve">the application of </w:t>
      </w:r>
      <w:r w:rsidRPr="004C4F6D">
        <w:rPr>
          <w:rFonts w:ascii="Arial" w:eastAsia="Arial Narrow" w:hAnsi="Arial" w:cs="Arial"/>
          <w:color w:val="000000"/>
        </w:rPr>
        <w:t>Certificate Authorizing Registration (CAR)</w:t>
      </w:r>
      <w:r w:rsidR="00482559" w:rsidRPr="004C4F6D">
        <w:rPr>
          <w:rFonts w:ascii="Arial" w:eastAsia="Arial Narrow" w:hAnsi="Arial" w:cs="Arial"/>
          <w:color w:val="000000"/>
        </w:rPr>
        <w:t>.</w:t>
      </w:r>
      <w:r w:rsidRPr="004C4F6D">
        <w:rPr>
          <w:rFonts w:ascii="Arial" w:eastAsia="Arial Narrow" w:hAnsi="Arial" w:cs="Arial"/>
          <w:color w:val="000000"/>
        </w:rPr>
        <w:t xml:space="preserve"> </w:t>
      </w:r>
    </w:p>
    <w:p w14:paraId="7467CF34" w14:textId="77777777" w:rsidR="00312FC6" w:rsidRPr="004C4F6D" w:rsidRDefault="00312FC6" w:rsidP="004C4F6D">
      <w:pPr>
        <w:tabs>
          <w:tab w:val="left" w:pos="1097"/>
          <w:tab w:val="left" w:pos="2127"/>
        </w:tabs>
        <w:spacing w:after="0" w:line="240" w:lineRule="auto"/>
        <w:ind w:right="140"/>
        <w:jc w:val="both"/>
        <w:rPr>
          <w:rFonts w:ascii="Arial" w:eastAsia="Arial Narrow" w:hAnsi="Arial" w:cs="Arial"/>
          <w:color w:val="000000"/>
        </w:rPr>
      </w:pPr>
    </w:p>
    <w:p w14:paraId="4D84E285" w14:textId="12DCAD70" w:rsidR="00312FC6" w:rsidRPr="004C4F6D" w:rsidRDefault="003919DE" w:rsidP="004C4F6D">
      <w:pPr>
        <w:numPr>
          <w:ilvl w:val="7"/>
          <w:numId w:val="23"/>
        </w:numPr>
        <w:tabs>
          <w:tab w:val="left" w:pos="1097"/>
          <w:tab w:val="left" w:pos="2127"/>
        </w:tabs>
        <w:spacing w:after="0" w:line="240" w:lineRule="auto"/>
        <w:jc w:val="both"/>
        <w:rPr>
          <w:rFonts w:ascii="Arial" w:eastAsia="Arial Narrow" w:hAnsi="Arial" w:cs="Arial"/>
          <w:color w:val="000000"/>
        </w:rPr>
      </w:pPr>
      <w:r w:rsidRPr="004C4F6D">
        <w:rPr>
          <w:rFonts w:ascii="Arial" w:eastAsia="Arial Narrow" w:hAnsi="Arial" w:cs="Arial"/>
          <w:color w:val="000000"/>
        </w:rPr>
        <w:lastRenderedPageBreak/>
        <w:t xml:space="preserve"> 137 </w:t>
      </w:r>
      <w:r w:rsidR="00482559" w:rsidRPr="004C4F6D">
        <w:rPr>
          <w:rFonts w:ascii="Arial" w:eastAsia="Arial Narrow" w:hAnsi="Arial" w:cs="Arial"/>
          <w:color w:val="000000"/>
        </w:rPr>
        <w:t xml:space="preserve">properties </w:t>
      </w:r>
      <w:r w:rsidRPr="004C4F6D">
        <w:rPr>
          <w:rFonts w:ascii="Arial" w:eastAsia="Arial Narrow" w:hAnsi="Arial" w:cs="Arial"/>
          <w:color w:val="000000"/>
        </w:rPr>
        <w:t>acquired from National Livelihood Development Corporation (NLDC) and People’s Credit and Finance Corporation (PCFC)</w:t>
      </w:r>
      <w:r w:rsidR="005A0EFF" w:rsidRPr="004C4F6D">
        <w:rPr>
          <w:rFonts w:ascii="Arial" w:eastAsia="Arial Narrow" w:hAnsi="Arial" w:cs="Arial"/>
          <w:color w:val="000000"/>
        </w:rPr>
        <w:t xml:space="preserve"> do not have</w:t>
      </w:r>
      <w:r w:rsidRPr="004C4F6D">
        <w:rPr>
          <w:rFonts w:ascii="Arial" w:eastAsia="Arial Narrow" w:hAnsi="Arial" w:cs="Arial"/>
          <w:color w:val="000000"/>
        </w:rPr>
        <w:t xml:space="preserve"> copies of Dacion en </w:t>
      </w:r>
      <w:r w:rsidR="005A0EFF" w:rsidRPr="004C4F6D">
        <w:rPr>
          <w:rFonts w:ascii="Arial" w:eastAsia="Arial Narrow" w:hAnsi="Arial" w:cs="Arial"/>
          <w:color w:val="000000"/>
        </w:rPr>
        <w:t>P</w:t>
      </w:r>
      <w:r w:rsidRPr="004C4F6D">
        <w:rPr>
          <w:rFonts w:ascii="Arial" w:eastAsia="Arial Narrow" w:hAnsi="Arial" w:cs="Arial"/>
          <w:color w:val="000000"/>
        </w:rPr>
        <w:t>ago agreement, proof of payment of CGT/DST/Transfer taxes, and/or other documents needed for consolidation. The properties were booked based only on the information from the General Ledger and Schedules from GOCCs. Management informed that the documents needed in consolidation could not be rectified by the Bank</w:t>
      </w:r>
      <w:r w:rsidR="005A0EFF" w:rsidRPr="004C4F6D">
        <w:rPr>
          <w:rFonts w:ascii="Arial" w:eastAsia="Arial Narrow" w:hAnsi="Arial" w:cs="Arial"/>
          <w:color w:val="000000"/>
        </w:rPr>
        <w:t xml:space="preserve"> since the said GOCCs were already abolished in September 2015.</w:t>
      </w:r>
    </w:p>
    <w:p w14:paraId="7DF2E00E" w14:textId="77777777" w:rsidR="00312FC6" w:rsidRPr="004C4F6D" w:rsidRDefault="00312FC6" w:rsidP="004C4F6D">
      <w:pPr>
        <w:tabs>
          <w:tab w:val="left" w:pos="1097"/>
          <w:tab w:val="left" w:pos="2127"/>
        </w:tabs>
        <w:spacing w:after="0" w:line="240" w:lineRule="auto"/>
        <w:ind w:right="140"/>
        <w:jc w:val="both"/>
        <w:rPr>
          <w:rFonts w:ascii="Arial" w:eastAsia="Arial Narrow" w:hAnsi="Arial" w:cs="Arial"/>
          <w:color w:val="000000"/>
        </w:rPr>
      </w:pPr>
    </w:p>
    <w:p w14:paraId="698A6DD2" w14:textId="26CB944A" w:rsidR="00312FC6" w:rsidRPr="004C4F6D" w:rsidRDefault="003919DE" w:rsidP="004C4F6D">
      <w:pPr>
        <w:numPr>
          <w:ilvl w:val="7"/>
          <w:numId w:val="23"/>
        </w:numPr>
        <w:tabs>
          <w:tab w:val="left" w:pos="1097"/>
          <w:tab w:val="left" w:pos="2127"/>
        </w:tabs>
        <w:spacing w:after="0" w:line="240" w:lineRule="auto"/>
        <w:jc w:val="both"/>
        <w:rPr>
          <w:rFonts w:ascii="Arial" w:eastAsia="Arial Narrow" w:hAnsi="Arial" w:cs="Arial"/>
          <w:color w:val="000000"/>
        </w:rPr>
      </w:pPr>
      <w:r w:rsidRPr="004C4F6D">
        <w:rPr>
          <w:rFonts w:ascii="Arial" w:eastAsia="Arial Narrow" w:hAnsi="Arial" w:cs="Arial"/>
          <w:color w:val="000000"/>
        </w:rPr>
        <w:t xml:space="preserve"> 98 titles lack documents </w:t>
      </w:r>
      <w:r w:rsidR="00B30F73" w:rsidRPr="004C4F6D">
        <w:rPr>
          <w:rFonts w:ascii="Arial" w:eastAsia="Arial Narrow" w:hAnsi="Arial" w:cs="Arial"/>
          <w:color w:val="000000"/>
        </w:rPr>
        <w:t>namely,</w:t>
      </w:r>
      <w:r w:rsidRPr="004C4F6D">
        <w:rPr>
          <w:rFonts w:ascii="Arial" w:eastAsia="Arial Narrow" w:hAnsi="Arial" w:cs="Arial"/>
          <w:color w:val="000000"/>
        </w:rPr>
        <w:t xml:space="preserve"> TIN n</w:t>
      </w:r>
      <w:r w:rsidR="005A0EFF" w:rsidRPr="004C4F6D">
        <w:rPr>
          <w:rFonts w:ascii="Arial" w:eastAsia="Arial Narrow" w:hAnsi="Arial" w:cs="Arial"/>
          <w:color w:val="000000"/>
        </w:rPr>
        <w:t>umbers</w:t>
      </w:r>
      <w:r w:rsidRPr="004C4F6D">
        <w:rPr>
          <w:rFonts w:ascii="Arial" w:eastAsia="Arial Narrow" w:hAnsi="Arial" w:cs="Arial"/>
          <w:color w:val="000000"/>
        </w:rPr>
        <w:t xml:space="preserve"> of previous owners/individual sub-borrowers, partition agreement, Certificate of Management, Individual Lot Plans, original copy of COS and Dacion en pago agreement.</w:t>
      </w:r>
    </w:p>
    <w:p w14:paraId="7EA4117D" w14:textId="77777777" w:rsidR="00312FC6" w:rsidRPr="004C4F6D" w:rsidRDefault="00312FC6" w:rsidP="004C4F6D">
      <w:pPr>
        <w:tabs>
          <w:tab w:val="left" w:pos="1097"/>
          <w:tab w:val="left" w:pos="2127"/>
        </w:tabs>
        <w:spacing w:after="0" w:line="240" w:lineRule="auto"/>
        <w:ind w:right="140"/>
        <w:jc w:val="both"/>
        <w:rPr>
          <w:rFonts w:ascii="Arial" w:eastAsia="Arial Narrow" w:hAnsi="Arial" w:cs="Arial"/>
          <w:color w:val="000000"/>
        </w:rPr>
      </w:pPr>
    </w:p>
    <w:p w14:paraId="773FE071" w14:textId="016BDD3F" w:rsidR="00312FC6" w:rsidRDefault="003919DE" w:rsidP="004C4F6D">
      <w:pPr>
        <w:numPr>
          <w:ilvl w:val="7"/>
          <w:numId w:val="23"/>
        </w:numPr>
        <w:tabs>
          <w:tab w:val="left" w:pos="1097"/>
          <w:tab w:val="left" w:pos="2127"/>
        </w:tabs>
        <w:spacing w:after="0" w:line="240" w:lineRule="auto"/>
        <w:jc w:val="both"/>
        <w:rPr>
          <w:rFonts w:ascii="Arial" w:eastAsia="Arial Narrow" w:hAnsi="Arial" w:cs="Arial"/>
          <w:color w:val="000000"/>
        </w:rPr>
      </w:pPr>
      <w:r w:rsidRPr="004C4F6D">
        <w:rPr>
          <w:rFonts w:ascii="Arial" w:eastAsia="Arial Narrow" w:hAnsi="Arial" w:cs="Arial"/>
          <w:color w:val="000000"/>
        </w:rPr>
        <w:t xml:space="preserve"> 79 titles are for completion of the required documents from the </w:t>
      </w:r>
      <w:r w:rsidR="00281476">
        <w:rPr>
          <w:rFonts w:ascii="Arial" w:eastAsia="Arial Narrow" w:hAnsi="Arial" w:cs="Arial"/>
          <w:color w:val="000000"/>
        </w:rPr>
        <w:t>LU/LC</w:t>
      </w:r>
      <w:r w:rsidRPr="004C4F6D">
        <w:rPr>
          <w:rFonts w:ascii="Arial" w:eastAsia="Arial Narrow" w:hAnsi="Arial" w:cs="Arial"/>
          <w:color w:val="000000"/>
        </w:rPr>
        <w:t xml:space="preserve"> before transferring to SPAD. </w:t>
      </w:r>
    </w:p>
    <w:p w14:paraId="2213583C" w14:textId="1C2D687C" w:rsidR="00AA0E35" w:rsidRPr="004C4F6D" w:rsidRDefault="00AA0E35" w:rsidP="00AA0E35">
      <w:pPr>
        <w:tabs>
          <w:tab w:val="left" w:pos="1097"/>
          <w:tab w:val="left" w:pos="2127"/>
        </w:tabs>
        <w:spacing w:after="0" w:line="240" w:lineRule="auto"/>
        <w:jc w:val="both"/>
        <w:rPr>
          <w:rFonts w:ascii="Arial" w:eastAsia="Arial Narrow" w:hAnsi="Arial" w:cs="Arial"/>
          <w:color w:val="000000"/>
        </w:rPr>
      </w:pPr>
    </w:p>
    <w:p w14:paraId="4FEBC2E0" w14:textId="2B2096B6" w:rsidR="00312FC6" w:rsidRPr="004C4F6D" w:rsidRDefault="003919DE" w:rsidP="004C4F6D">
      <w:pPr>
        <w:numPr>
          <w:ilvl w:val="7"/>
          <w:numId w:val="23"/>
        </w:numPr>
        <w:tabs>
          <w:tab w:val="left" w:pos="1097"/>
          <w:tab w:val="left" w:pos="2127"/>
        </w:tabs>
        <w:spacing w:after="0" w:line="240" w:lineRule="auto"/>
        <w:jc w:val="both"/>
        <w:rPr>
          <w:rFonts w:ascii="Arial" w:eastAsia="Arial Narrow" w:hAnsi="Arial" w:cs="Arial"/>
          <w:color w:val="000000"/>
        </w:rPr>
      </w:pPr>
      <w:r w:rsidRPr="004C4F6D">
        <w:rPr>
          <w:rFonts w:ascii="Arial" w:eastAsia="Arial Narrow" w:hAnsi="Arial" w:cs="Arial"/>
          <w:color w:val="000000"/>
        </w:rPr>
        <w:t xml:space="preserve"> 55 titles are properties acquired from OFW Bank (OFBank) in September 2019, </w:t>
      </w:r>
      <w:r w:rsidR="00B30F73" w:rsidRPr="004C4F6D">
        <w:rPr>
          <w:rFonts w:ascii="Arial" w:eastAsia="Arial Narrow" w:hAnsi="Arial" w:cs="Arial"/>
          <w:color w:val="000000"/>
        </w:rPr>
        <w:t>but lack the</w:t>
      </w:r>
      <w:r w:rsidRPr="004C4F6D">
        <w:rPr>
          <w:rFonts w:ascii="Arial" w:eastAsia="Arial Narrow" w:hAnsi="Arial" w:cs="Arial"/>
          <w:color w:val="000000"/>
        </w:rPr>
        <w:t xml:space="preserve"> Deed of Sale/Assignment, and/or other documents needed for consolidation.</w:t>
      </w:r>
    </w:p>
    <w:p w14:paraId="229FFC38" w14:textId="77777777" w:rsidR="00312FC6" w:rsidRPr="004C4F6D" w:rsidRDefault="00312FC6" w:rsidP="004C4F6D">
      <w:pPr>
        <w:tabs>
          <w:tab w:val="left" w:pos="1097"/>
          <w:tab w:val="left" w:pos="2127"/>
        </w:tabs>
        <w:spacing w:after="0" w:line="240" w:lineRule="auto"/>
        <w:ind w:right="140"/>
        <w:jc w:val="both"/>
        <w:rPr>
          <w:rFonts w:ascii="Arial" w:eastAsia="Arial Narrow" w:hAnsi="Arial" w:cs="Arial"/>
          <w:color w:val="000000"/>
        </w:rPr>
      </w:pPr>
    </w:p>
    <w:p w14:paraId="6E9BB8F2" w14:textId="710DE052" w:rsidR="00312FC6" w:rsidRPr="004C4F6D" w:rsidRDefault="003919DE" w:rsidP="004C4F6D">
      <w:pPr>
        <w:numPr>
          <w:ilvl w:val="7"/>
          <w:numId w:val="23"/>
        </w:numPr>
        <w:tabs>
          <w:tab w:val="left" w:pos="1097"/>
          <w:tab w:val="left" w:pos="2127"/>
        </w:tabs>
        <w:spacing w:after="0" w:line="240" w:lineRule="auto"/>
        <w:jc w:val="both"/>
        <w:rPr>
          <w:rFonts w:ascii="Arial" w:eastAsia="Arial Narrow" w:hAnsi="Arial" w:cs="Arial"/>
          <w:color w:val="000000"/>
        </w:rPr>
      </w:pPr>
      <w:r w:rsidRPr="004C4F6D">
        <w:rPr>
          <w:rFonts w:ascii="Arial" w:eastAsia="Arial Narrow" w:hAnsi="Arial" w:cs="Arial"/>
          <w:color w:val="000000"/>
        </w:rPr>
        <w:t xml:space="preserve"> 47 titles with </w:t>
      </w:r>
      <w:r w:rsidR="001B127D" w:rsidRPr="004C4F6D">
        <w:rPr>
          <w:rFonts w:ascii="Arial" w:eastAsia="Arial Narrow" w:hAnsi="Arial" w:cs="Arial"/>
          <w:color w:val="000000"/>
        </w:rPr>
        <w:t>b</w:t>
      </w:r>
      <w:r w:rsidRPr="004C4F6D">
        <w:rPr>
          <w:rFonts w:ascii="Arial" w:eastAsia="Arial Narrow" w:hAnsi="Arial" w:cs="Arial"/>
          <w:color w:val="000000"/>
        </w:rPr>
        <w:t xml:space="preserve">ook </w:t>
      </w:r>
      <w:r w:rsidR="001B127D" w:rsidRPr="004C4F6D">
        <w:rPr>
          <w:rFonts w:ascii="Arial" w:eastAsia="Arial Narrow" w:hAnsi="Arial" w:cs="Arial"/>
          <w:color w:val="000000"/>
        </w:rPr>
        <w:t>v</w:t>
      </w:r>
      <w:r w:rsidRPr="004C4F6D">
        <w:rPr>
          <w:rFonts w:ascii="Arial" w:eastAsia="Arial Narrow" w:hAnsi="Arial" w:cs="Arial"/>
          <w:color w:val="000000"/>
        </w:rPr>
        <w:t xml:space="preserve">alues and </w:t>
      </w:r>
      <w:r w:rsidR="0000537F" w:rsidRPr="004C4F6D">
        <w:rPr>
          <w:rFonts w:ascii="Arial" w:eastAsia="Arial Narrow" w:hAnsi="Arial" w:cs="Arial"/>
          <w:color w:val="000000"/>
        </w:rPr>
        <w:t>a</w:t>
      </w:r>
      <w:r w:rsidRPr="004C4F6D">
        <w:rPr>
          <w:rFonts w:ascii="Arial" w:eastAsia="Arial Narrow" w:hAnsi="Arial" w:cs="Arial"/>
          <w:color w:val="000000"/>
        </w:rPr>
        <w:t xml:space="preserve">ppraisal </w:t>
      </w:r>
      <w:r w:rsidR="0000537F" w:rsidRPr="004C4F6D">
        <w:rPr>
          <w:rFonts w:ascii="Arial" w:eastAsia="Arial Narrow" w:hAnsi="Arial" w:cs="Arial"/>
          <w:color w:val="000000"/>
        </w:rPr>
        <w:t>v</w:t>
      </w:r>
      <w:r w:rsidRPr="004C4F6D">
        <w:rPr>
          <w:rFonts w:ascii="Arial" w:eastAsia="Arial Narrow" w:hAnsi="Arial" w:cs="Arial"/>
          <w:color w:val="000000"/>
        </w:rPr>
        <w:t>alues amounting to P27,828,546.65 and P121,271,276.45, respectively, are w</w:t>
      </w:r>
      <w:r w:rsidR="0000537F" w:rsidRPr="004C4F6D">
        <w:rPr>
          <w:rFonts w:ascii="Arial" w:eastAsia="Arial Narrow" w:hAnsi="Arial" w:cs="Arial"/>
          <w:color w:val="000000"/>
        </w:rPr>
        <w:t>i</w:t>
      </w:r>
      <w:r w:rsidRPr="004C4F6D">
        <w:rPr>
          <w:rFonts w:ascii="Arial" w:eastAsia="Arial Narrow" w:hAnsi="Arial" w:cs="Arial"/>
          <w:color w:val="000000"/>
        </w:rPr>
        <w:t xml:space="preserve">th issues on Transfer Certificate of Titles (TCTs). 32 </w:t>
      </w:r>
      <w:r w:rsidR="0000537F" w:rsidRPr="004C4F6D">
        <w:rPr>
          <w:rFonts w:ascii="Arial" w:eastAsia="Arial Narrow" w:hAnsi="Arial" w:cs="Arial"/>
          <w:color w:val="000000"/>
        </w:rPr>
        <w:t xml:space="preserve">titles </w:t>
      </w:r>
      <w:r w:rsidRPr="004C4F6D">
        <w:rPr>
          <w:rFonts w:ascii="Arial" w:eastAsia="Arial Narrow" w:hAnsi="Arial" w:cs="Arial"/>
          <w:color w:val="000000"/>
        </w:rPr>
        <w:t xml:space="preserve">have no </w:t>
      </w:r>
      <w:r w:rsidR="0000537F" w:rsidRPr="004C4F6D">
        <w:rPr>
          <w:rFonts w:ascii="Arial" w:eastAsia="Arial Narrow" w:hAnsi="Arial" w:cs="Arial"/>
          <w:color w:val="000000"/>
        </w:rPr>
        <w:t xml:space="preserve">TCTs, </w:t>
      </w:r>
      <w:r w:rsidRPr="004C4F6D">
        <w:rPr>
          <w:rFonts w:ascii="Arial" w:eastAsia="Arial Narrow" w:hAnsi="Arial" w:cs="Arial"/>
          <w:color w:val="000000"/>
        </w:rPr>
        <w:t xml:space="preserve">2 </w:t>
      </w:r>
      <w:r w:rsidR="0000537F" w:rsidRPr="004C4F6D">
        <w:rPr>
          <w:rFonts w:ascii="Arial" w:eastAsia="Arial Narrow" w:hAnsi="Arial" w:cs="Arial"/>
          <w:color w:val="000000"/>
        </w:rPr>
        <w:t xml:space="preserve">TCTs are </w:t>
      </w:r>
      <w:r w:rsidRPr="004C4F6D">
        <w:rPr>
          <w:rFonts w:ascii="Arial" w:eastAsia="Arial Narrow" w:hAnsi="Arial" w:cs="Arial"/>
          <w:color w:val="000000"/>
        </w:rPr>
        <w:t xml:space="preserve">fake, 3 have no TCTs from the documents forwarded by LU/LC; 9 have untitled Tax Declarations awaiting documents from Provincial Environment and Natural Resources Officer and Land Registration Authority; and 1 </w:t>
      </w:r>
      <w:r w:rsidRPr="004C4F6D">
        <w:rPr>
          <w:rFonts w:ascii="Arial" w:eastAsia="Arial Narrow" w:hAnsi="Arial" w:cs="Arial"/>
        </w:rPr>
        <w:t>has the same</w:t>
      </w:r>
      <w:r w:rsidRPr="004C4F6D">
        <w:rPr>
          <w:rFonts w:ascii="Arial" w:eastAsia="Arial Narrow" w:hAnsi="Arial" w:cs="Arial"/>
          <w:color w:val="000000"/>
        </w:rPr>
        <w:t xml:space="preserve"> TCT </w:t>
      </w:r>
      <w:r w:rsidR="005101DB" w:rsidRPr="004C4F6D">
        <w:rPr>
          <w:rFonts w:ascii="Arial" w:eastAsia="Arial Narrow" w:hAnsi="Arial" w:cs="Arial"/>
          <w:color w:val="000000"/>
        </w:rPr>
        <w:t>of</w:t>
      </w:r>
      <w:r w:rsidRPr="004C4F6D">
        <w:rPr>
          <w:rFonts w:ascii="Arial" w:eastAsia="Arial Narrow" w:hAnsi="Arial" w:cs="Arial"/>
          <w:color w:val="000000"/>
        </w:rPr>
        <w:t xml:space="preserve"> other ROPA.</w:t>
      </w:r>
    </w:p>
    <w:p w14:paraId="67131C7D" w14:textId="77777777" w:rsidR="00312FC6" w:rsidRPr="004C4F6D" w:rsidRDefault="00312FC6" w:rsidP="004C4F6D">
      <w:pPr>
        <w:pStyle w:val="ListParagraph"/>
        <w:spacing w:after="0" w:line="240" w:lineRule="auto"/>
        <w:ind w:left="0"/>
        <w:jc w:val="both"/>
        <w:rPr>
          <w:rFonts w:ascii="Arial" w:eastAsia="Arial Narrow" w:hAnsi="Arial" w:cs="Arial"/>
        </w:rPr>
      </w:pPr>
    </w:p>
    <w:p w14:paraId="58717BBA" w14:textId="18873522" w:rsidR="003C52C7"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t>Item 1 of Special Order (SO) No. 090, series of 2021, Addendum to SO No. 345, series of 2020, providing for the additional functions of the Asset Recovery Support Department (ARSD), thru its Special Legal &amp; Accounts Management Unit (SLAMU) – Transaction Advisory Team (TAT</w:t>
      </w:r>
      <w:r w:rsidR="009E0DD9" w:rsidRPr="004C4F6D">
        <w:rPr>
          <w:rFonts w:ascii="Arial" w:eastAsia="Arial Narrow" w:hAnsi="Arial" w:cs="Arial"/>
        </w:rPr>
        <w:t>)</w:t>
      </w:r>
      <w:r w:rsidRPr="004C4F6D">
        <w:rPr>
          <w:rFonts w:ascii="Arial" w:eastAsia="Arial Narrow" w:hAnsi="Arial" w:cs="Arial"/>
        </w:rPr>
        <w:t>, such as the initiation of Extra Judicial Foreclosure (EJF) proceedings on matured/past due accounts referred by the Head Office and consolidation of the titles, handling of consolidation/registration of titles and issuance of new tax declaration of foreclosed properties in NCR, and coordinates with other government agencies</w:t>
      </w:r>
      <w:r w:rsidR="003C52C7" w:rsidRPr="004C4F6D">
        <w:rPr>
          <w:rFonts w:ascii="Arial" w:eastAsia="Arial Narrow" w:hAnsi="Arial" w:cs="Arial"/>
        </w:rPr>
        <w:t xml:space="preserve">. </w:t>
      </w:r>
    </w:p>
    <w:p w14:paraId="02ADD12A" w14:textId="77777777" w:rsidR="003C52C7" w:rsidRPr="004C4F6D" w:rsidRDefault="003C52C7" w:rsidP="004C4F6D">
      <w:pPr>
        <w:pStyle w:val="ListParagraph"/>
        <w:autoSpaceDE w:val="0"/>
        <w:autoSpaceDN w:val="0"/>
        <w:adjustRightInd w:val="0"/>
        <w:spacing w:after="0" w:line="240" w:lineRule="auto"/>
        <w:ind w:left="0"/>
        <w:jc w:val="both"/>
        <w:rPr>
          <w:rFonts w:ascii="Arial" w:eastAsia="Arial Narrow" w:hAnsi="Arial" w:cs="Arial"/>
        </w:rPr>
      </w:pPr>
    </w:p>
    <w:p w14:paraId="6338DBEC" w14:textId="57DA459D" w:rsidR="00312FC6" w:rsidRPr="004C4F6D" w:rsidRDefault="008436E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color w:val="000000"/>
        </w:rPr>
        <w:t>ARSD</w:t>
      </w:r>
      <w:r w:rsidR="003919DE" w:rsidRPr="004C4F6D">
        <w:rPr>
          <w:rFonts w:ascii="Arial" w:eastAsia="Arial Narrow" w:hAnsi="Arial" w:cs="Arial"/>
          <w:color w:val="000000"/>
        </w:rPr>
        <w:t xml:space="preserve"> emphasized that the handling of consolidation/registration of titles and issuance of new tax declarations, as well as the assistance in the administrative reconstitution of the Bank’s lost titles, are not automatically initiated by them unless the same arises from the consequence of the initiation of EJF proceedings. </w:t>
      </w:r>
      <w:r w:rsidR="00EA7A5C" w:rsidRPr="004C4F6D">
        <w:rPr>
          <w:rFonts w:ascii="Arial" w:eastAsia="Arial Narrow" w:hAnsi="Arial" w:cs="Arial"/>
          <w:color w:val="000000"/>
        </w:rPr>
        <w:t xml:space="preserve">According also to ARSD, the HO Lending Units/SPAD should </w:t>
      </w:r>
      <w:r w:rsidR="003919DE" w:rsidRPr="004C4F6D">
        <w:rPr>
          <w:rFonts w:ascii="Arial" w:eastAsia="Arial Narrow" w:hAnsi="Arial" w:cs="Arial"/>
          <w:color w:val="000000"/>
        </w:rPr>
        <w:t xml:space="preserve">first initiate a formal referral of the accounts </w:t>
      </w:r>
      <w:r w:rsidR="00EA7A5C" w:rsidRPr="004C4F6D">
        <w:rPr>
          <w:rFonts w:ascii="Arial" w:eastAsia="Arial Narrow" w:hAnsi="Arial" w:cs="Arial"/>
          <w:color w:val="000000"/>
        </w:rPr>
        <w:t xml:space="preserve">for </w:t>
      </w:r>
      <w:r w:rsidR="00EA7A5C" w:rsidRPr="004C4F6D">
        <w:rPr>
          <w:rFonts w:ascii="Arial" w:eastAsia="Arial Narrow" w:hAnsi="Arial" w:cs="Arial"/>
        </w:rPr>
        <w:t>consolidation/registration of titles.</w:t>
      </w:r>
    </w:p>
    <w:p w14:paraId="1759D7E2" w14:textId="77777777" w:rsidR="00312FC6" w:rsidRPr="004C4F6D" w:rsidRDefault="00312FC6" w:rsidP="004C4F6D">
      <w:pPr>
        <w:pStyle w:val="ListParagraph"/>
        <w:spacing w:after="0" w:line="240" w:lineRule="auto"/>
        <w:ind w:left="0" w:right="140"/>
        <w:jc w:val="both"/>
        <w:rPr>
          <w:rFonts w:ascii="Arial" w:eastAsia="Arial Narrow" w:hAnsi="Arial" w:cs="Arial"/>
        </w:rPr>
      </w:pPr>
    </w:p>
    <w:p w14:paraId="6CBBC933"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t>The delays in the consolidation of titles, based on the reasons and status provided by Management, are mainly attributed to incomplete documents submitted when the Bank acquired or foreclosed the assets.</w:t>
      </w:r>
    </w:p>
    <w:p w14:paraId="7B228A08" w14:textId="77777777" w:rsidR="00312FC6" w:rsidRPr="004C4F6D" w:rsidRDefault="00312FC6" w:rsidP="004C4F6D">
      <w:pPr>
        <w:pStyle w:val="ListParagraph"/>
        <w:spacing w:after="0" w:line="240" w:lineRule="auto"/>
        <w:ind w:left="0" w:right="140"/>
        <w:jc w:val="both"/>
        <w:rPr>
          <w:rFonts w:ascii="Arial" w:eastAsia="Arial Narrow" w:hAnsi="Arial" w:cs="Arial"/>
        </w:rPr>
      </w:pPr>
    </w:p>
    <w:p w14:paraId="7716534F"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t>Pending consolidation, the Bank is exposed to risks of conflicting claims and ownership disputes in the future, and incurrence of additional costs for tax penalties for late transfer, and deprivation from an opportunity to recover from its exposures which could be used for the operational expenses of the Bank.</w:t>
      </w:r>
    </w:p>
    <w:p w14:paraId="087FFE6E" w14:textId="77777777"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b/>
          <w:color w:val="000000"/>
          <w:lang w:eastAsia="en-PH"/>
        </w:rPr>
        <w:lastRenderedPageBreak/>
        <w:t>We recommended and Management agreed that:</w:t>
      </w:r>
    </w:p>
    <w:p w14:paraId="31508A0B" w14:textId="77777777" w:rsidR="00312FC6" w:rsidRPr="004C4F6D" w:rsidRDefault="00312FC6" w:rsidP="004C4F6D">
      <w:pPr>
        <w:pStyle w:val="ListParagraph"/>
        <w:autoSpaceDE w:val="0"/>
        <w:autoSpaceDN w:val="0"/>
        <w:adjustRightInd w:val="0"/>
        <w:spacing w:after="0" w:line="240" w:lineRule="auto"/>
        <w:ind w:left="0"/>
        <w:jc w:val="both"/>
        <w:rPr>
          <w:rFonts w:ascii="Arial" w:eastAsia="Arial Narrow" w:hAnsi="Arial" w:cs="Arial"/>
          <w:b/>
        </w:rPr>
      </w:pPr>
    </w:p>
    <w:p w14:paraId="79CC97CB" w14:textId="6BAD873A" w:rsidR="00312FC6" w:rsidRPr="004C4F6D" w:rsidRDefault="003919DE" w:rsidP="004C4F6D">
      <w:pPr>
        <w:pStyle w:val="ListParagraph"/>
        <w:numPr>
          <w:ilvl w:val="4"/>
          <w:numId w:val="12"/>
        </w:numPr>
        <w:spacing w:after="0" w:line="240" w:lineRule="auto"/>
        <w:ind w:left="709" w:firstLine="0"/>
        <w:jc w:val="both"/>
        <w:rPr>
          <w:rFonts w:ascii="Arial" w:eastAsia="Arial Narrow" w:hAnsi="Arial" w:cs="Arial"/>
          <w:color w:val="000000"/>
          <w:lang w:eastAsia="en-PH"/>
        </w:rPr>
      </w:pPr>
      <w:r w:rsidRPr="004C4F6D">
        <w:rPr>
          <w:rFonts w:ascii="Arial" w:eastAsia="Arial Narrow" w:hAnsi="Arial" w:cs="Arial"/>
          <w:b/>
          <w:color w:val="000000"/>
          <w:lang w:eastAsia="en-PH"/>
        </w:rPr>
        <w:t>The Lending Units, secure complete documents, correct deficiencies, and submit to SPAD the needed documents for consolidation;</w:t>
      </w:r>
    </w:p>
    <w:p w14:paraId="38E831BF" w14:textId="3E52C068" w:rsidR="00312FC6" w:rsidRDefault="00312FC6" w:rsidP="004C4F6D">
      <w:pPr>
        <w:pStyle w:val="ListParagraph"/>
        <w:spacing w:after="0" w:line="240" w:lineRule="auto"/>
        <w:ind w:right="194"/>
        <w:jc w:val="both"/>
        <w:rPr>
          <w:rFonts w:ascii="Arial" w:eastAsia="Arial Narrow" w:hAnsi="Arial" w:cs="Arial"/>
          <w:color w:val="000000"/>
          <w:lang w:eastAsia="en-PH"/>
        </w:rPr>
      </w:pPr>
    </w:p>
    <w:p w14:paraId="317AE170" w14:textId="52DEA0F6" w:rsidR="00212915" w:rsidRPr="004C4F6D" w:rsidRDefault="003919DE" w:rsidP="004C4F6D">
      <w:pPr>
        <w:pStyle w:val="ListParagraph"/>
        <w:numPr>
          <w:ilvl w:val="4"/>
          <w:numId w:val="12"/>
        </w:numPr>
        <w:spacing w:after="0" w:line="240" w:lineRule="auto"/>
        <w:ind w:left="709" w:firstLine="0"/>
        <w:jc w:val="both"/>
        <w:rPr>
          <w:rFonts w:ascii="Arial" w:eastAsia="Arial Narrow" w:hAnsi="Arial" w:cs="Arial"/>
          <w:lang w:eastAsia="en-PH"/>
        </w:rPr>
      </w:pPr>
      <w:r w:rsidRPr="004C4F6D">
        <w:rPr>
          <w:rFonts w:ascii="Arial" w:eastAsia="Arial Narrow" w:hAnsi="Arial" w:cs="Arial"/>
          <w:b/>
          <w:lang w:eastAsia="en-PH"/>
        </w:rPr>
        <w:t xml:space="preserve">The </w:t>
      </w:r>
      <w:r w:rsidR="003132AD" w:rsidRPr="004C4F6D">
        <w:rPr>
          <w:rFonts w:ascii="Arial" w:eastAsia="Arial Narrow" w:hAnsi="Arial" w:cs="Arial"/>
          <w:b/>
          <w:lang w:eastAsia="en-PH"/>
        </w:rPr>
        <w:t>SPAD:</w:t>
      </w:r>
    </w:p>
    <w:p w14:paraId="522753FD" w14:textId="77777777" w:rsidR="00212915" w:rsidRPr="004C4F6D" w:rsidRDefault="00212915" w:rsidP="004C4F6D">
      <w:pPr>
        <w:pStyle w:val="ListParagraph"/>
        <w:rPr>
          <w:rFonts w:ascii="Arial" w:eastAsia="Arial Narrow" w:hAnsi="Arial" w:cs="Arial"/>
          <w:b/>
          <w:lang w:eastAsia="en-PH"/>
        </w:rPr>
      </w:pPr>
    </w:p>
    <w:p w14:paraId="3EC92E8C" w14:textId="4D18747F" w:rsidR="00312FC6" w:rsidRPr="004C4F6D" w:rsidRDefault="00212915" w:rsidP="004C4F6D">
      <w:pPr>
        <w:pStyle w:val="ListParagraph"/>
        <w:spacing w:after="0" w:line="240" w:lineRule="auto"/>
        <w:ind w:left="1980" w:hanging="540"/>
        <w:jc w:val="both"/>
        <w:rPr>
          <w:rFonts w:ascii="Arial" w:eastAsia="Arial Narrow" w:hAnsi="Arial" w:cs="Arial"/>
          <w:lang w:eastAsia="en-PH"/>
        </w:rPr>
      </w:pPr>
      <w:r w:rsidRPr="004C4F6D">
        <w:rPr>
          <w:rFonts w:ascii="Arial" w:eastAsia="Arial Narrow" w:hAnsi="Arial" w:cs="Arial"/>
          <w:b/>
          <w:lang w:eastAsia="en-PH"/>
        </w:rPr>
        <w:t xml:space="preserve">b.1 </w:t>
      </w:r>
      <w:r w:rsidRPr="004C4F6D">
        <w:rPr>
          <w:rFonts w:ascii="Arial" w:eastAsia="Arial Narrow" w:hAnsi="Arial" w:cs="Arial"/>
          <w:b/>
          <w:lang w:eastAsia="en-PH"/>
        </w:rPr>
        <w:tab/>
      </w:r>
      <w:r w:rsidR="003919DE" w:rsidRPr="004C4F6D">
        <w:rPr>
          <w:rFonts w:ascii="Arial" w:eastAsia="Arial Narrow" w:hAnsi="Arial" w:cs="Arial"/>
          <w:b/>
          <w:lang w:eastAsia="en-PH"/>
        </w:rPr>
        <w:t xml:space="preserve">verify the </w:t>
      </w:r>
      <w:r w:rsidR="00FF168D" w:rsidRPr="004C4F6D">
        <w:rPr>
          <w:rFonts w:ascii="Arial" w:eastAsia="Arial Narrow" w:hAnsi="Arial" w:cs="Arial"/>
          <w:b/>
          <w:lang w:eastAsia="en-PH"/>
        </w:rPr>
        <w:t xml:space="preserve">completeness and accuracy of the </w:t>
      </w:r>
      <w:r w:rsidR="003919DE" w:rsidRPr="004C4F6D">
        <w:rPr>
          <w:rFonts w:ascii="Arial" w:eastAsia="Arial Narrow" w:hAnsi="Arial" w:cs="Arial"/>
          <w:b/>
          <w:lang w:eastAsia="en-PH"/>
        </w:rPr>
        <w:t>documents submitted by the Lending Units;</w:t>
      </w:r>
    </w:p>
    <w:p w14:paraId="470B999C" w14:textId="77777777" w:rsidR="00312FC6" w:rsidRPr="004C4F6D" w:rsidRDefault="00312FC6" w:rsidP="004C4F6D">
      <w:pPr>
        <w:spacing w:after="0" w:line="240" w:lineRule="auto"/>
        <w:ind w:right="194"/>
        <w:jc w:val="both"/>
        <w:rPr>
          <w:rFonts w:ascii="Arial" w:eastAsia="Arial Narrow" w:hAnsi="Arial" w:cs="Arial"/>
          <w:lang w:eastAsia="en-PH"/>
        </w:rPr>
      </w:pPr>
    </w:p>
    <w:p w14:paraId="2310CCF7" w14:textId="415615EC" w:rsidR="00312FC6" w:rsidRPr="004C4F6D" w:rsidRDefault="00212915" w:rsidP="004C4F6D">
      <w:pPr>
        <w:pStyle w:val="ListParagraph"/>
        <w:spacing w:after="0" w:line="240" w:lineRule="auto"/>
        <w:ind w:left="1980" w:hanging="540"/>
        <w:jc w:val="both"/>
        <w:rPr>
          <w:rFonts w:ascii="Arial" w:eastAsia="Arial Narrow" w:hAnsi="Arial" w:cs="Arial"/>
          <w:lang w:eastAsia="en-PH"/>
        </w:rPr>
      </w:pPr>
      <w:r w:rsidRPr="004C4F6D">
        <w:rPr>
          <w:rFonts w:ascii="Arial" w:eastAsia="Arial Narrow" w:hAnsi="Arial" w:cs="Arial"/>
          <w:b/>
          <w:lang w:eastAsia="en-PH"/>
        </w:rPr>
        <w:t xml:space="preserve">b.2 </w:t>
      </w:r>
      <w:r w:rsidRPr="004C4F6D">
        <w:rPr>
          <w:rFonts w:ascii="Arial" w:eastAsia="Arial Narrow" w:hAnsi="Arial" w:cs="Arial"/>
          <w:b/>
          <w:lang w:eastAsia="en-PH"/>
        </w:rPr>
        <w:tab/>
      </w:r>
      <w:r w:rsidR="003919DE" w:rsidRPr="004C4F6D">
        <w:rPr>
          <w:rFonts w:ascii="Arial" w:eastAsia="Arial Narrow" w:hAnsi="Arial" w:cs="Arial"/>
          <w:b/>
          <w:lang w:eastAsia="en-PH"/>
        </w:rPr>
        <w:t xml:space="preserve">formally refer </w:t>
      </w:r>
      <w:r w:rsidR="00FF168D" w:rsidRPr="004C4F6D">
        <w:rPr>
          <w:rFonts w:ascii="Arial" w:eastAsia="Arial Narrow" w:hAnsi="Arial" w:cs="Arial"/>
          <w:b/>
          <w:lang w:eastAsia="en-PH"/>
        </w:rPr>
        <w:t xml:space="preserve">for assistance from the </w:t>
      </w:r>
      <w:r w:rsidR="003919DE" w:rsidRPr="004C4F6D">
        <w:rPr>
          <w:rFonts w:ascii="Arial" w:eastAsia="Arial Narrow" w:hAnsi="Arial" w:cs="Arial"/>
          <w:b/>
          <w:lang w:eastAsia="en-PH"/>
        </w:rPr>
        <w:t>Asset Recovery Support Department (ARSD) the consolidation of   titles that are no longer existing or cannot be rectified;</w:t>
      </w:r>
    </w:p>
    <w:p w14:paraId="5693EAA8" w14:textId="77777777" w:rsidR="00312FC6" w:rsidRPr="004C4F6D" w:rsidRDefault="00312FC6" w:rsidP="004C4F6D">
      <w:pPr>
        <w:spacing w:after="0" w:line="240" w:lineRule="auto"/>
        <w:ind w:right="194"/>
        <w:jc w:val="both"/>
        <w:rPr>
          <w:rFonts w:ascii="Arial" w:eastAsia="Arial Narrow" w:hAnsi="Arial" w:cs="Arial"/>
          <w:color w:val="000000"/>
          <w:lang w:eastAsia="en-PH"/>
        </w:rPr>
      </w:pPr>
    </w:p>
    <w:p w14:paraId="039E2173" w14:textId="7F41CEFE" w:rsidR="00312FC6" w:rsidRPr="004C4F6D" w:rsidRDefault="00212915" w:rsidP="004C4F6D">
      <w:pPr>
        <w:spacing w:after="0" w:line="240" w:lineRule="auto"/>
        <w:ind w:left="1980" w:hanging="540"/>
        <w:jc w:val="both"/>
        <w:rPr>
          <w:rFonts w:ascii="Arial" w:eastAsia="Arial Narrow" w:hAnsi="Arial" w:cs="Arial"/>
          <w:color w:val="000000"/>
          <w:lang w:eastAsia="en-PH"/>
        </w:rPr>
      </w:pPr>
      <w:r w:rsidRPr="004C4F6D">
        <w:rPr>
          <w:rFonts w:ascii="Arial" w:eastAsia="Arial Narrow" w:hAnsi="Arial" w:cs="Arial"/>
          <w:b/>
          <w:color w:val="000000"/>
          <w:lang w:eastAsia="en-PH"/>
        </w:rPr>
        <w:t xml:space="preserve">b.3 </w:t>
      </w:r>
      <w:r w:rsidR="003919DE" w:rsidRPr="004C4F6D">
        <w:rPr>
          <w:rFonts w:ascii="Arial" w:eastAsia="Arial Narrow" w:hAnsi="Arial" w:cs="Arial"/>
          <w:b/>
          <w:color w:val="000000"/>
          <w:lang w:eastAsia="en-PH"/>
        </w:rPr>
        <w:t xml:space="preserve">coordinate with Bureau of Internal Revenue (BIR), Land Registration Authority (LRA), and other Government Agencies </w:t>
      </w:r>
      <w:r w:rsidR="00FF168D" w:rsidRPr="004C4F6D">
        <w:rPr>
          <w:rFonts w:ascii="Arial" w:eastAsia="Arial Narrow" w:hAnsi="Arial" w:cs="Arial"/>
          <w:b/>
          <w:color w:val="000000"/>
          <w:lang w:eastAsia="en-PH"/>
        </w:rPr>
        <w:t xml:space="preserve">the </w:t>
      </w:r>
      <w:r w:rsidR="003919DE" w:rsidRPr="004C4F6D">
        <w:rPr>
          <w:rFonts w:ascii="Arial" w:eastAsia="Arial Narrow" w:hAnsi="Arial" w:cs="Arial"/>
          <w:b/>
          <w:color w:val="000000"/>
          <w:lang w:eastAsia="en-PH"/>
        </w:rPr>
        <w:t>payment of required taxes within the set deadlines to avoid penalties or surcharges;</w:t>
      </w:r>
    </w:p>
    <w:p w14:paraId="6475FA43" w14:textId="77777777" w:rsidR="00312FC6" w:rsidRPr="004C4F6D" w:rsidRDefault="00312FC6" w:rsidP="004C4F6D">
      <w:pPr>
        <w:spacing w:after="0" w:line="240" w:lineRule="auto"/>
        <w:ind w:right="194"/>
        <w:jc w:val="both"/>
        <w:rPr>
          <w:rFonts w:ascii="Arial" w:eastAsia="Arial Narrow" w:hAnsi="Arial" w:cs="Arial"/>
          <w:color w:val="000000"/>
          <w:lang w:eastAsia="en-PH"/>
        </w:rPr>
      </w:pPr>
    </w:p>
    <w:p w14:paraId="1D0ED31B" w14:textId="1AAEE2BB" w:rsidR="00312FC6" w:rsidRPr="004C4F6D" w:rsidRDefault="003919DE" w:rsidP="004C4F6D">
      <w:pPr>
        <w:pStyle w:val="ListParagraph"/>
        <w:numPr>
          <w:ilvl w:val="4"/>
          <w:numId w:val="12"/>
        </w:numPr>
        <w:spacing w:after="0" w:line="240" w:lineRule="auto"/>
        <w:ind w:left="709" w:firstLine="0"/>
        <w:jc w:val="both"/>
        <w:rPr>
          <w:rFonts w:ascii="Arial" w:eastAsia="Arial Narrow" w:hAnsi="Arial" w:cs="Arial"/>
          <w:color w:val="000000"/>
          <w:lang w:eastAsia="en-PH"/>
        </w:rPr>
      </w:pPr>
      <w:r w:rsidRPr="004C4F6D">
        <w:rPr>
          <w:rFonts w:ascii="Arial" w:eastAsia="Arial Narrow" w:hAnsi="Arial" w:cs="Arial"/>
          <w:b/>
          <w:color w:val="000000"/>
          <w:lang w:eastAsia="en-PH"/>
        </w:rPr>
        <w:t>Conduct investigation on the 47 titles with no existing TCTs, with dummy title, or same TCT as other ROPA, and submit the results of investigation conducted</w:t>
      </w:r>
      <w:r w:rsidR="00212915" w:rsidRPr="004C4F6D">
        <w:rPr>
          <w:rFonts w:ascii="Arial" w:eastAsia="Arial Narrow" w:hAnsi="Arial" w:cs="Arial"/>
          <w:b/>
          <w:color w:val="000000"/>
          <w:lang w:eastAsia="en-PH"/>
        </w:rPr>
        <w:t xml:space="preserve"> for corrective actions.</w:t>
      </w:r>
    </w:p>
    <w:p w14:paraId="5CC56276" w14:textId="77777777" w:rsidR="00312FC6" w:rsidRPr="004C4F6D" w:rsidRDefault="00312FC6" w:rsidP="004C4F6D">
      <w:pPr>
        <w:pStyle w:val="ListParagraph"/>
        <w:spacing w:after="0" w:line="240" w:lineRule="auto"/>
        <w:rPr>
          <w:rFonts w:ascii="Arial" w:eastAsia="Arial Narrow" w:hAnsi="Arial" w:cs="Arial"/>
          <w:color w:val="000000"/>
          <w:lang w:eastAsia="en-PH"/>
        </w:rPr>
      </w:pPr>
    </w:p>
    <w:p w14:paraId="6CD383B8" w14:textId="08D32FCA" w:rsidR="00312FC6" w:rsidRPr="004C4F6D" w:rsidRDefault="00FF168D"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 xml:space="preserve">The </w:t>
      </w:r>
      <w:r w:rsidR="003919DE" w:rsidRPr="004C4F6D">
        <w:rPr>
          <w:rFonts w:ascii="Arial" w:eastAsia="Arial Narrow" w:hAnsi="Arial" w:cs="Arial"/>
          <w:color w:val="000000"/>
        </w:rPr>
        <w:t>SPAD</w:t>
      </w:r>
      <w:r w:rsidRPr="004C4F6D">
        <w:rPr>
          <w:rFonts w:ascii="Arial" w:eastAsia="Arial Narrow" w:hAnsi="Arial" w:cs="Arial"/>
          <w:color w:val="000000"/>
        </w:rPr>
        <w:t xml:space="preserve"> committed to undertake necessary actions on the issues raised.</w:t>
      </w:r>
      <w:r w:rsidR="003919DE" w:rsidRPr="004C4F6D">
        <w:rPr>
          <w:rFonts w:ascii="Arial" w:eastAsia="Arial Narrow" w:hAnsi="Arial" w:cs="Arial"/>
          <w:color w:val="000000"/>
        </w:rPr>
        <w:t xml:space="preserve"> </w:t>
      </w:r>
    </w:p>
    <w:p w14:paraId="0971178B" w14:textId="77777777" w:rsidR="00312FC6" w:rsidRPr="004C4F6D" w:rsidRDefault="00312FC6" w:rsidP="004C4F6D">
      <w:pPr>
        <w:pStyle w:val="ListParagraph"/>
        <w:rPr>
          <w:rFonts w:ascii="Arial" w:eastAsia="Arial Narrow" w:hAnsi="Arial" w:cs="Arial"/>
          <w:b/>
        </w:rPr>
      </w:pPr>
    </w:p>
    <w:p w14:paraId="00BD414E" w14:textId="6D18CADE" w:rsidR="00312FC6" w:rsidRPr="004C4F6D" w:rsidRDefault="003919DE" w:rsidP="004C4F6D">
      <w:pPr>
        <w:numPr>
          <w:ilvl w:val="0"/>
          <w:numId w:val="35"/>
        </w:numPr>
        <w:spacing w:after="0" w:line="240" w:lineRule="auto"/>
        <w:ind w:left="0" w:firstLine="0"/>
        <w:jc w:val="both"/>
        <w:rPr>
          <w:rFonts w:ascii="Arial" w:eastAsia="Arial Narrow" w:hAnsi="Arial" w:cs="Arial"/>
        </w:rPr>
      </w:pPr>
      <w:r w:rsidRPr="004C4F6D">
        <w:rPr>
          <w:rFonts w:ascii="Arial" w:eastAsia="Arial Narrow" w:hAnsi="Arial" w:cs="Arial"/>
          <w:b/>
        </w:rPr>
        <w:t xml:space="preserve">Acquired properties with total book </w:t>
      </w:r>
      <w:r w:rsidR="00FF168D" w:rsidRPr="004C4F6D">
        <w:rPr>
          <w:rFonts w:ascii="Arial" w:eastAsia="Arial Narrow" w:hAnsi="Arial" w:cs="Arial"/>
          <w:b/>
        </w:rPr>
        <w:t xml:space="preserve">P96.323 million </w:t>
      </w:r>
      <w:r w:rsidRPr="004C4F6D">
        <w:rPr>
          <w:rFonts w:ascii="Arial" w:eastAsia="Arial Narrow" w:hAnsi="Arial" w:cs="Arial"/>
          <w:b/>
        </w:rPr>
        <w:t>and appraised value</w:t>
      </w:r>
      <w:r w:rsidR="00B9799F" w:rsidRPr="004C4F6D">
        <w:rPr>
          <w:rFonts w:ascii="Arial" w:eastAsia="Arial Narrow" w:hAnsi="Arial" w:cs="Arial"/>
          <w:b/>
        </w:rPr>
        <w:t>s</w:t>
      </w:r>
      <w:r w:rsidRPr="004C4F6D">
        <w:rPr>
          <w:rFonts w:ascii="Arial" w:eastAsia="Arial Narrow" w:hAnsi="Arial" w:cs="Arial"/>
          <w:b/>
        </w:rPr>
        <w:t xml:space="preserve"> of P309.905 million, respectively, were: </w:t>
      </w:r>
      <w:r w:rsidR="00FF168D" w:rsidRPr="004C4F6D">
        <w:rPr>
          <w:rFonts w:ascii="Arial" w:eastAsia="Arial Narrow" w:hAnsi="Arial" w:cs="Arial"/>
          <w:b/>
        </w:rPr>
        <w:t xml:space="preserve">either </w:t>
      </w:r>
      <w:r w:rsidRPr="004C4F6D">
        <w:rPr>
          <w:rFonts w:ascii="Arial" w:eastAsia="Arial Narrow" w:hAnsi="Arial" w:cs="Arial"/>
          <w:b/>
        </w:rPr>
        <w:t xml:space="preserve">a) occupied by informal settlers without lease payment to the Bank, b) subleased/sold by former owners, c) without signage stating it is a Bank property and available for sale/lease, d) not properly maintained, and e) unlocated; </w:t>
      </w:r>
      <w:r w:rsidR="002F56C4" w:rsidRPr="004C4F6D">
        <w:rPr>
          <w:rFonts w:ascii="Arial" w:eastAsia="Arial Narrow" w:hAnsi="Arial" w:cs="Arial"/>
          <w:b/>
        </w:rPr>
        <w:t xml:space="preserve">thus </w:t>
      </w:r>
      <w:r w:rsidRPr="004C4F6D">
        <w:rPr>
          <w:rFonts w:ascii="Arial" w:eastAsia="Arial Narrow" w:hAnsi="Arial" w:cs="Arial"/>
          <w:b/>
        </w:rPr>
        <w:t>exposing properties to risks of rapid deterioration, loss of opportunity income from the sale/lease of the property, and delay in the recovery of Bank’s loan exposure.</w:t>
      </w:r>
    </w:p>
    <w:p w14:paraId="686E2F8B" w14:textId="77777777" w:rsidR="00312FC6" w:rsidRPr="004C4F6D" w:rsidRDefault="00312FC6" w:rsidP="004C4F6D">
      <w:pPr>
        <w:pStyle w:val="ListParagraph"/>
      </w:pPr>
    </w:p>
    <w:p w14:paraId="6622DD22" w14:textId="43A93AE4"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The SPAD Operations Manual, provides guidelines on administration of ROPA within Redemption Period (Chapter 2) and administration of consolidated ROPA (Chapter 4). In both stages, ROPA is administered through preservation/ protection of the foreclosed properties until such time that the properties are redeemed or sold/disposed</w:t>
      </w:r>
      <w:r w:rsidRPr="004C4F6D">
        <w:rPr>
          <w:rFonts w:ascii="Arial" w:eastAsia="Arial Narrow" w:hAnsi="Arial" w:cs="Arial"/>
          <w:i/>
          <w:color w:val="000000"/>
        </w:rPr>
        <w:t xml:space="preserve">, </w:t>
      </w:r>
      <w:r w:rsidRPr="004C4F6D">
        <w:rPr>
          <w:rFonts w:ascii="Arial" w:eastAsia="Arial Narrow" w:hAnsi="Arial" w:cs="Arial"/>
          <w:color w:val="000000"/>
        </w:rPr>
        <w:t>through:</w:t>
      </w:r>
      <w:r w:rsidRPr="004C4F6D">
        <w:rPr>
          <w:rFonts w:ascii="Arial" w:eastAsia="Arial Narrow" w:hAnsi="Arial" w:cs="Arial"/>
          <w:i/>
          <w:color w:val="000000"/>
        </w:rPr>
        <w:t xml:space="preserve"> inspection of the properties to assess their physical status or condition; posting of security guards or hiring of caretakers, as applicable; assessment of appropriate measures to protect the property from informal settlers, theft, pilferage, and other related contingencies; and, repairs and maintenance, </w:t>
      </w:r>
      <w:r w:rsidRPr="004C4F6D">
        <w:rPr>
          <w:rFonts w:ascii="Arial" w:eastAsia="Arial Narrow" w:hAnsi="Arial" w:cs="Arial"/>
          <w:color w:val="000000"/>
        </w:rPr>
        <w:t>among others.</w:t>
      </w:r>
    </w:p>
    <w:p w14:paraId="628A41EF" w14:textId="77777777" w:rsidR="00312FC6" w:rsidRPr="004C4F6D" w:rsidRDefault="00312FC6" w:rsidP="004C4F6D">
      <w:pPr>
        <w:pStyle w:val="ListParagraph"/>
        <w:rPr>
          <w:rFonts w:ascii="Arial" w:eastAsia="Arial Narrow" w:hAnsi="Arial" w:cs="Arial"/>
          <w:color w:val="000000"/>
        </w:rPr>
      </w:pPr>
    </w:p>
    <w:p w14:paraId="6D104CD5" w14:textId="4099F87D"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 xml:space="preserve">The Masterlist of ROPA as of December 31, 2022 showed a balance of P9,078,233,836.46, composing of 6,954 real estates and 252 chattels, reported located in different parts of the country. To determine the existence and conditions of the properties, the audit team selected 60 properties </w:t>
      </w:r>
      <w:r w:rsidR="002F56C4" w:rsidRPr="004C4F6D">
        <w:rPr>
          <w:rFonts w:ascii="Arial" w:eastAsia="Arial Narrow" w:hAnsi="Arial" w:cs="Arial"/>
          <w:color w:val="000000"/>
        </w:rPr>
        <w:t xml:space="preserve">located within Metro Manila for </w:t>
      </w:r>
      <w:r w:rsidRPr="004C4F6D">
        <w:rPr>
          <w:rFonts w:ascii="Arial" w:eastAsia="Arial Narrow" w:hAnsi="Arial" w:cs="Arial"/>
          <w:color w:val="000000"/>
        </w:rPr>
        <w:t>ocular inspection from January 16 to 20, 2023. Of the 60 properties inspected, 48 or 80</w:t>
      </w:r>
      <w:r w:rsidR="002F56C4" w:rsidRPr="004C4F6D">
        <w:rPr>
          <w:rFonts w:ascii="Arial" w:eastAsia="Arial Narrow" w:hAnsi="Arial" w:cs="Arial"/>
          <w:color w:val="000000"/>
        </w:rPr>
        <w:t xml:space="preserve"> per cent</w:t>
      </w:r>
      <w:r w:rsidRPr="004C4F6D">
        <w:rPr>
          <w:rFonts w:ascii="Arial" w:eastAsia="Arial Narrow" w:hAnsi="Arial" w:cs="Arial"/>
          <w:color w:val="000000"/>
        </w:rPr>
        <w:t xml:space="preserve"> of the properties with a total book and appraised value of P96,323,073.47 and P309,905,162.21, respectively, disclosed the following conditions:</w:t>
      </w:r>
    </w:p>
    <w:tbl>
      <w:tblPr>
        <w:tblW w:w="8539" w:type="dxa"/>
        <w:tblInd w:w="108" w:type="dxa"/>
        <w:tblLayout w:type="fixed"/>
        <w:tblLook w:val="04A0" w:firstRow="1" w:lastRow="0" w:firstColumn="1" w:lastColumn="0" w:noHBand="0" w:noVBand="1"/>
      </w:tblPr>
      <w:tblGrid>
        <w:gridCol w:w="1267"/>
        <w:gridCol w:w="1597"/>
        <w:gridCol w:w="1559"/>
        <w:gridCol w:w="1656"/>
        <w:gridCol w:w="620"/>
        <w:gridCol w:w="477"/>
        <w:gridCol w:w="459"/>
        <w:gridCol w:w="459"/>
        <w:gridCol w:w="445"/>
      </w:tblGrid>
      <w:tr w:rsidR="00312FC6" w:rsidRPr="004C4F6D" w14:paraId="5B39A548" w14:textId="77777777">
        <w:trPr>
          <w:cantSplit/>
          <w:trHeight w:val="20"/>
          <w:tblHeader/>
        </w:trPr>
        <w:tc>
          <w:tcPr>
            <w:tcW w:w="1267" w:type="dxa"/>
            <w:vMerge w:val="restart"/>
            <w:tcBorders>
              <w:top w:val="single" w:sz="4" w:space="0" w:color="auto"/>
            </w:tcBorders>
            <w:vAlign w:val="center"/>
          </w:tcPr>
          <w:p w14:paraId="7F55DDE1" w14:textId="77777777" w:rsidR="00312FC6" w:rsidRPr="004C4F6D" w:rsidRDefault="003919DE" w:rsidP="004C4F6D">
            <w:pPr>
              <w:spacing w:after="0" w:line="240" w:lineRule="auto"/>
              <w:jc w:val="center"/>
              <w:rPr>
                <w:rFonts w:ascii="Arial" w:eastAsia="Arial Narrow" w:hAnsi="Arial" w:cs="Arial"/>
                <w:sz w:val="20"/>
                <w:szCs w:val="20"/>
                <w:lang w:eastAsia="en-PH"/>
              </w:rPr>
            </w:pPr>
            <w:r w:rsidRPr="004C4F6D">
              <w:rPr>
                <w:rFonts w:ascii="Arial" w:eastAsia="Arial Narrow" w:hAnsi="Arial" w:cs="Arial"/>
                <w:b/>
                <w:sz w:val="20"/>
                <w:szCs w:val="20"/>
                <w:lang w:eastAsia="en-PH"/>
              </w:rPr>
              <w:lastRenderedPageBreak/>
              <w:t>Location</w:t>
            </w:r>
          </w:p>
        </w:tc>
        <w:tc>
          <w:tcPr>
            <w:tcW w:w="1597" w:type="dxa"/>
            <w:vMerge w:val="restart"/>
            <w:tcBorders>
              <w:top w:val="single" w:sz="4" w:space="0" w:color="auto"/>
            </w:tcBorders>
            <w:vAlign w:val="center"/>
          </w:tcPr>
          <w:p w14:paraId="1C2DEFC9" w14:textId="77777777" w:rsidR="00312FC6" w:rsidRPr="004C4F6D" w:rsidRDefault="003919DE" w:rsidP="004C4F6D">
            <w:pPr>
              <w:spacing w:after="0" w:line="240" w:lineRule="auto"/>
              <w:jc w:val="center"/>
              <w:rPr>
                <w:rFonts w:ascii="Arial" w:eastAsia="Arial Narrow" w:hAnsi="Arial" w:cs="Arial"/>
                <w:sz w:val="20"/>
                <w:szCs w:val="20"/>
                <w:lang w:eastAsia="en-PH"/>
              </w:rPr>
            </w:pPr>
            <w:r w:rsidRPr="004C4F6D">
              <w:rPr>
                <w:rFonts w:ascii="Arial" w:eastAsia="Arial Narrow" w:hAnsi="Arial" w:cs="Arial"/>
                <w:b/>
                <w:sz w:val="20"/>
                <w:szCs w:val="20"/>
                <w:lang w:eastAsia="en-PH"/>
              </w:rPr>
              <w:t>No. of Properties with deficiencies</w:t>
            </w:r>
          </w:p>
        </w:tc>
        <w:tc>
          <w:tcPr>
            <w:tcW w:w="1559" w:type="dxa"/>
            <w:vMerge w:val="restart"/>
            <w:tcBorders>
              <w:top w:val="single" w:sz="4" w:space="0" w:color="auto"/>
            </w:tcBorders>
            <w:vAlign w:val="center"/>
          </w:tcPr>
          <w:p w14:paraId="2954ACFD" w14:textId="77777777" w:rsidR="00312FC6" w:rsidRPr="004C4F6D" w:rsidRDefault="003919DE" w:rsidP="004C4F6D">
            <w:pPr>
              <w:spacing w:after="0" w:line="240" w:lineRule="auto"/>
              <w:jc w:val="center"/>
              <w:rPr>
                <w:rFonts w:ascii="Arial" w:eastAsia="Arial Narrow" w:hAnsi="Arial" w:cs="Arial"/>
                <w:sz w:val="20"/>
                <w:szCs w:val="20"/>
                <w:lang w:eastAsia="en-PH"/>
              </w:rPr>
            </w:pPr>
            <w:r w:rsidRPr="004C4F6D">
              <w:rPr>
                <w:rFonts w:ascii="Arial" w:eastAsia="Arial Narrow" w:hAnsi="Arial" w:cs="Arial"/>
                <w:b/>
                <w:sz w:val="20"/>
                <w:szCs w:val="20"/>
                <w:lang w:eastAsia="en-PH"/>
              </w:rPr>
              <w:t>Book Value</w:t>
            </w:r>
          </w:p>
        </w:tc>
        <w:tc>
          <w:tcPr>
            <w:tcW w:w="1656" w:type="dxa"/>
            <w:vMerge w:val="restart"/>
            <w:tcBorders>
              <w:top w:val="single" w:sz="4" w:space="0" w:color="auto"/>
            </w:tcBorders>
            <w:vAlign w:val="center"/>
          </w:tcPr>
          <w:p w14:paraId="307D3DE1" w14:textId="77777777" w:rsidR="00312FC6" w:rsidRPr="004C4F6D" w:rsidRDefault="003919DE" w:rsidP="004C4F6D">
            <w:pPr>
              <w:spacing w:after="0" w:line="240" w:lineRule="auto"/>
              <w:jc w:val="center"/>
              <w:rPr>
                <w:rFonts w:ascii="Arial" w:eastAsia="Arial Narrow" w:hAnsi="Arial" w:cs="Arial"/>
                <w:sz w:val="20"/>
                <w:szCs w:val="20"/>
                <w:lang w:eastAsia="en-PH"/>
              </w:rPr>
            </w:pPr>
            <w:r w:rsidRPr="004C4F6D">
              <w:rPr>
                <w:rFonts w:ascii="Arial" w:eastAsia="Arial Narrow" w:hAnsi="Arial" w:cs="Arial"/>
                <w:b/>
                <w:sz w:val="20"/>
                <w:szCs w:val="20"/>
                <w:lang w:eastAsia="en-PH"/>
              </w:rPr>
              <w:t>Appraised value</w:t>
            </w:r>
          </w:p>
        </w:tc>
        <w:tc>
          <w:tcPr>
            <w:tcW w:w="2460" w:type="dxa"/>
            <w:gridSpan w:val="5"/>
            <w:tcBorders>
              <w:top w:val="single" w:sz="4" w:space="0" w:color="auto"/>
              <w:bottom w:val="single" w:sz="4" w:space="0" w:color="auto"/>
            </w:tcBorders>
            <w:vAlign w:val="center"/>
          </w:tcPr>
          <w:p w14:paraId="4FBB9DA8" w14:textId="77777777" w:rsidR="00312FC6" w:rsidRPr="004C4F6D" w:rsidRDefault="003919DE" w:rsidP="004C4F6D">
            <w:pPr>
              <w:spacing w:after="0" w:line="240" w:lineRule="auto"/>
              <w:jc w:val="center"/>
              <w:rPr>
                <w:rFonts w:ascii="Arial" w:eastAsia="Arial Narrow" w:hAnsi="Arial" w:cs="Arial"/>
                <w:sz w:val="20"/>
                <w:szCs w:val="20"/>
                <w:lang w:eastAsia="en-PH"/>
              </w:rPr>
            </w:pPr>
            <w:r w:rsidRPr="004C4F6D">
              <w:rPr>
                <w:rFonts w:ascii="Arial" w:eastAsia="Arial Narrow" w:hAnsi="Arial" w:cs="Arial"/>
                <w:b/>
                <w:sz w:val="20"/>
                <w:szCs w:val="20"/>
                <w:lang w:eastAsia="en-PH"/>
              </w:rPr>
              <w:t>Actual Conditions of</w:t>
            </w:r>
          </w:p>
          <w:p w14:paraId="6B9C035B" w14:textId="77777777" w:rsidR="00312FC6" w:rsidRPr="004C4F6D" w:rsidRDefault="003919DE" w:rsidP="004C4F6D">
            <w:pPr>
              <w:spacing w:after="0" w:line="240" w:lineRule="auto"/>
              <w:jc w:val="center"/>
              <w:rPr>
                <w:rFonts w:ascii="Arial" w:eastAsia="Arial Narrow" w:hAnsi="Arial" w:cs="Arial"/>
                <w:sz w:val="20"/>
                <w:szCs w:val="20"/>
                <w:lang w:eastAsia="en-PH"/>
              </w:rPr>
            </w:pPr>
            <w:r w:rsidRPr="004C4F6D">
              <w:rPr>
                <w:rFonts w:ascii="Arial" w:eastAsia="Arial Narrow" w:hAnsi="Arial" w:cs="Arial"/>
                <w:b/>
                <w:sz w:val="20"/>
                <w:szCs w:val="20"/>
                <w:lang w:eastAsia="en-PH"/>
              </w:rPr>
              <w:t>ROPA (No. of ROPA)</w:t>
            </w:r>
          </w:p>
        </w:tc>
      </w:tr>
      <w:tr w:rsidR="00312FC6" w:rsidRPr="004C4F6D" w14:paraId="5398BC12" w14:textId="77777777">
        <w:trPr>
          <w:cantSplit/>
          <w:trHeight w:val="20"/>
          <w:tblHeader/>
        </w:trPr>
        <w:tc>
          <w:tcPr>
            <w:tcW w:w="1267" w:type="dxa"/>
            <w:vMerge/>
            <w:tcBorders>
              <w:bottom w:val="single" w:sz="4" w:space="0" w:color="auto"/>
            </w:tcBorders>
            <w:vAlign w:val="center"/>
          </w:tcPr>
          <w:p w14:paraId="4D86924C" w14:textId="77777777" w:rsidR="00312FC6" w:rsidRPr="004C4F6D" w:rsidRDefault="00312FC6" w:rsidP="004C4F6D">
            <w:pPr>
              <w:widowControl w:val="0"/>
              <w:spacing w:after="0" w:line="240" w:lineRule="auto"/>
              <w:rPr>
                <w:rFonts w:ascii="Arial" w:eastAsia="Arial Narrow" w:hAnsi="Arial" w:cs="Arial"/>
                <w:sz w:val="20"/>
                <w:szCs w:val="20"/>
                <w:lang w:eastAsia="en-PH"/>
              </w:rPr>
            </w:pPr>
          </w:p>
        </w:tc>
        <w:tc>
          <w:tcPr>
            <w:tcW w:w="1597" w:type="dxa"/>
            <w:vMerge/>
            <w:tcBorders>
              <w:bottom w:val="single" w:sz="4" w:space="0" w:color="auto"/>
            </w:tcBorders>
            <w:vAlign w:val="center"/>
          </w:tcPr>
          <w:p w14:paraId="3EA750F7" w14:textId="77777777" w:rsidR="00312FC6" w:rsidRPr="004C4F6D" w:rsidRDefault="00312FC6" w:rsidP="004C4F6D">
            <w:pPr>
              <w:widowControl w:val="0"/>
              <w:spacing w:after="0" w:line="240" w:lineRule="auto"/>
              <w:rPr>
                <w:rFonts w:ascii="Arial" w:eastAsia="Arial Narrow" w:hAnsi="Arial" w:cs="Arial"/>
                <w:sz w:val="20"/>
                <w:szCs w:val="20"/>
                <w:lang w:eastAsia="en-PH"/>
              </w:rPr>
            </w:pPr>
          </w:p>
        </w:tc>
        <w:tc>
          <w:tcPr>
            <w:tcW w:w="1559" w:type="dxa"/>
            <w:vMerge/>
            <w:tcBorders>
              <w:bottom w:val="single" w:sz="4" w:space="0" w:color="auto"/>
            </w:tcBorders>
            <w:vAlign w:val="center"/>
          </w:tcPr>
          <w:p w14:paraId="33D9E807" w14:textId="77777777" w:rsidR="00312FC6" w:rsidRPr="004C4F6D" w:rsidRDefault="00312FC6" w:rsidP="004C4F6D">
            <w:pPr>
              <w:widowControl w:val="0"/>
              <w:spacing w:after="0" w:line="240" w:lineRule="auto"/>
              <w:rPr>
                <w:rFonts w:ascii="Arial" w:eastAsia="Arial Narrow" w:hAnsi="Arial" w:cs="Arial"/>
                <w:sz w:val="20"/>
                <w:szCs w:val="20"/>
                <w:lang w:eastAsia="en-PH"/>
              </w:rPr>
            </w:pPr>
          </w:p>
        </w:tc>
        <w:tc>
          <w:tcPr>
            <w:tcW w:w="1656" w:type="dxa"/>
            <w:vMerge/>
            <w:tcBorders>
              <w:bottom w:val="single" w:sz="4" w:space="0" w:color="auto"/>
            </w:tcBorders>
            <w:vAlign w:val="center"/>
          </w:tcPr>
          <w:p w14:paraId="49A71548" w14:textId="77777777" w:rsidR="00312FC6" w:rsidRPr="004C4F6D" w:rsidRDefault="00312FC6" w:rsidP="004C4F6D">
            <w:pPr>
              <w:widowControl w:val="0"/>
              <w:spacing w:after="0" w:line="240" w:lineRule="auto"/>
              <w:rPr>
                <w:rFonts w:ascii="Arial" w:eastAsia="Arial Narrow" w:hAnsi="Arial" w:cs="Arial"/>
                <w:sz w:val="20"/>
                <w:szCs w:val="20"/>
                <w:lang w:eastAsia="en-PH"/>
              </w:rPr>
            </w:pPr>
          </w:p>
        </w:tc>
        <w:tc>
          <w:tcPr>
            <w:tcW w:w="620" w:type="dxa"/>
            <w:tcBorders>
              <w:top w:val="single" w:sz="4" w:space="0" w:color="auto"/>
              <w:bottom w:val="single" w:sz="4" w:space="0" w:color="auto"/>
            </w:tcBorders>
            <w:vAlign w:val="center"/>
          </w:tcPr>
          <w:p w14:paraId="29E84299"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a</w:t>
            </w:r>
          </w:p>
        </w:tc>
        <w:tc>
          <w:tcPr>
            <w:tcW w:w="477" w:type="dxa"/>
            <w:tcBorders>
              <w:top w:val="single" w:sz="4" w:space="0" w:color="auto"/>
              <w:bottom w:val="single" w:sz="4" w:space="0" w:color="auto"/>
            </w:tcBorders>
            <w:vAlign w:val="center"/>
          </w:tcPr>
          <w:p w14:paraId="4E4FC072"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b</w:t>
            </w:r>
          </w:p>
        </w:tc>
        <w:tc>
          <w:tcPr>
            <w:tcW w:w="459" w:type="dxa"/>
            <w:tcBorders>
              <w:top w:val="single" w:sz="4" w:space="0" w:color="auto"/>
              <w:bottom w:val="single" w:sz="4" w:space="0" w:color="auto"/>
            </w:tcBorders>
            <w:vAlign w:val="center"/>
          </w:tcPr>
          <w:p w14:paraId="6496BF96"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c</w:t>
            </w:r>
          </w:p>
        </w:tc>
        <w:tc>
          <w:tcPr>
            <w:tcW w:w="459" w:type="dxa"/>
            <w:tcBorders>
              <w:top w:val="single" w:sz="4" w:space="0" w:color="auto"/>
              <w:bottom w:val="single" w:sz="4" w:space="0" w:color="auto"/>
            </w:tcBorders>
            <w:vAlign w:val="center"/>
          </w:tcPr>
          <w:p w14:paraId="0640C619"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d</w:t>
            </w:r>
          </w:p>
        </w:tc>
        <w:tc>
          <w:tcPr>
            <w:tcW w:w="445" w:type="dxa"/>
            <w:tcBorders>
              <w:top w:val="single" w:sz="4" w:space="0" w:color="auto"/>
              <w:bottom w:val="single" w:sz="4" w:space="0" w:color="auto"/>
            </w:tcBorders>
            <w:vAlign w:val="center"/>
          </w:tcPr>
          <w:p w14:paraId="7DFC5012"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e</w:t>
            </w:r>
          </w:p>
        </w:tc>
      </w:tr>
      <w:tr w:rsidR="00312FC6" w:rsidRPr="004C4F6D" w14:paraId="0453EEFA" w14:textId="77777777">
        <w:trPr>
          <w:trHeight w:val="20"/>
        </w:trPr>
        <w:tc>
          <w:tcPr>
            <w:tcW w:w="1267" w:type="dxa"/>
            <w:tcBorders>
              <w:top w:val="single" w:sz="4" w:space="0" w:color="auto"/>
            </w:tcBorders>
          </w:tcPr>
          <w:p w14:paraId="2573F05B" w14:textId="77777777" w:rsidR="00312FC6" w:rsidRPr="004C4F6D" w:rsidRDefault="003919DE"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Manila</w:t>
            </w:r>
          </w:p>
        </w:tc>
        <w:tc>
          <w:tcPr>
            <w:tcW w:w="1597" w:type="dxa"/>
            <w:tcBorders>
              <w:top w:val="single" w:sz="4" w:space="0" w:color="auto"/>
            </w:tcBorders>
          </w:tcPr>
          <w:p w14:paraId="6BD8A986"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8</w:t>
            </w:r>
          </w:p>
        </w:tc>
        <w:tc>
          <w:tcPr>
            <w:tcW w:w="1559" w:type="dxa"/>
            <w:tcBorders>
              <w:top w:val="single" w:sz="4" w:space="0" w:color="auto"/>
            </w:tcBorders>
          </w:tcPr>
          <w:p w14:paraId="71EC6B0B"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24,131,792.63</w:t>
            </w:r>
          </w:p>
        </w:tc>
        <w:tc>
          <w:tcPr>
            <w:tcW w:w="1656" w:type="dxa"/>
            <w:tcBorders>
              <w:top w:val="single" w:sz="4" w:space="0" w:color="auto"/>
            </w:tcBorders>
          </w:tcPr>
          <w:p w14:paraId="15D37E75"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195,125,891.21</w:t>
            </w:r>
          </w:p>
        </w:tc>
        <w:tc>
          <w:tcPr>
            <w:tcW w:w="620" w:type="dxa"/>
            <w:tcBorders>
              <w:top w:val="single" w:sz="4" w:space="0" w:color="auto"/>
            </w:tcBorders>
          </w:tcPr>
          <w:p w14:paraId="6DA712E9"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6</w:t>
            </w:r>
          </w:p>
        </w:tc>
        <w:tc>
          <w:tcPr>
            <w:tcW w:w="477" w:type="dxa"/>
            <w:tcBorders>
              <w:top w:val="single" w:sz="4" w:space="0" w:color="auto"/>
            </w:tcBorders>
          </w:tcPr>
          <w:p w14:paraId="3D8D6EA1"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c>
          <w:tcPr>
            <w:tcW w:w="459" w:type="dxa"/>
            <w:tcBorders>
              <w:top w:val="single" w:sz="4" w:space="0" w:color="auto"/>
            </w:tcBorders>
          </w:tcPr>
          <w:p w14:paraId="75D9E53C"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4</w:t>
            </w:r>
          </w:p>
        </w:tc>
        <w:tc>
          <w:tcPr>
            <w:tcW w:w="459" w:type="dxa"/>
            <w:tcBorders>
              <w:top w:val="single" w:sz="4" w:space="0" w:color="auto"/>
            </w:tcBorders>
          </w:tcPr>
          <w:p w14:paraId="433C2B54"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2</w:t>
            </w:r>
          </w:p>
        </w:tc>
        <w:tc>
          <w:tcPr>
            <w:tcW w:w="445" w:type="dxa"/>
            <w:tcBorders>
              <w:top w:val="single" w:sz="4" w:space="0" w:color="auto"/>
            </w:tcBorders>
          </w:tcPr>
          <w:p w14:paraId="76570B28"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2</w:t>
            </w:r>
          </w:p>
        </w:tc>
      </w:tr>
      <w:tr w:rsidR="00312FC6" w:rsidRPr="004C4F6D" w14:paraId="05C3EBB1" w14:textId="77777777">
        <w:trPr>
          <w:trHeight w:val="20"/>
        </w:trPr>
        <w:tc>
          <w:tcPr>
            <w:tcW w:w="1267" w:type="dxa"/>
          </w:tcPr>
          <w:p w14:paraId="2303A099" w14:textId="77777777" w:rsidR="00312FC6" w:rsidRPr="004C4F6D" w:rsidRDefault="003919DE"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Caloocan </w:t>
            </w:r>
          </w:p>
        </w:tc>
        <w:tc>
          <w:tcPr>
            <w:tcW w:w="1597" w:type="dxa"/>
          </w:tcPr>
          <w:p w14:paraId="5D34D4C3"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w:t>
            </w:r>
          </w:p>
        </w:tc>
        <w:tc>
          <w:tcPr>
            <w:tcW w:w="1559" w:type="dxa"/>
          </w:tcPr>
          <w:p w14:paraId="4ED32C1C"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4,259,963.82</w:t>
            </w:r>
          </w:p>
        </w:tc>
        <w:tc>
          <w:tcPr>
            <w:tcW w:w="1656" w:type="dxa"/>
          </w:tcPr>
          <w:p w14:paraId="164FFDE6"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4,584,000.00</w:t>
            </w:r>
          </w:p>
        </w:tc>
        <w:tc>
          <w:tcPr>
            <w:tcW w:w="620" w:type="dxa"/>
          </w:tcPr>
          <w:p w14:paraId="15CC1E39"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1</w:t>
            </w:r>
          </w:p>
        </w:tc>
        <w:tc>
          <w:tcPr>
            <w:tcW w:w="477" w:type="dxa"/>
          </w:tcPr>
          <w:p w14:paraId="52B036FD"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1</w:t>
            </w:r>
          </w:p>
        </w:tc>
        <w:tc>
          <w:tcPr>
            <w:tcW w:w="459" w:type="dxa"/>
          </w:tcPr>
          <w:p w14:paraId="4D3A7049"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1</w:t>
            </w:r>
          </w:p>
        </w:tc>
        <w:tc>
          <w:tcPr>
            <w:tcW w:w="459" w:type="dxa"/>
          </w:tcPr>
          <w:p w14:paraId="55F27B55"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c>
          <w:tcPr>
            <w:tcW w:w="445" w:type="dxa"/>
          </w:tcPr>
          <w:p w14:paraId="52724B69"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r>
      <w:tr w:rsidR="00312FC6" w:rsidRPr="004C4F6D" w14:paraId="0AD07CD2" w14:textId="77777777">
        <w:trPr>
          <w:trHeight w:val="20"/>
        </w:trPr>
        <w:tc>
          <w:tcPr>
            <w:tcW w:w="1267" w:type="dxa"/>
          </w:tcPr>
          <w:p w14:paraId="48359208" w14:textId="77777777" w:rsidR="00312FC6" w:rsidRPr="004C4F6D" w:rsidRDefault="003919DE"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Las Piñas</w:t>
            </w:r>
          </w:p>
        </w:tc>
        <w:tc>
          <w:tcPr>
            <w:tcW w:w="1597" w:type="dxa"/>
          </w:tcPr>
          <w:p w14:paraId="4A30279B"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w:t>
            </w:r>
          </w:p>
        </w:tc>
        <w:tc>
          <w:tcPr>
            <w:tcW w:w="1559" w:type="dxa"/>
          </w:tcPr>
          <w:p w14:paraId="346C31F6"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3,200,132.51</w:t>
            </w:r>
          </w:p>
        </w:tc>
        <w:tc>
          <w:tcPr>
            <w:tcW w:w="1656" w:type="dxa"/>
          </w:tcPr>
          <w:p w14:paraId="35C57D3D"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4,644,001.00</w:t>
            </w:r>
          </w:p>
        </w:tc>
        <w:tc>
          <w:tcPr>
            <w:tcW w:w="620" w:type="dxa"/>
          </w:tcPr>
          <w:p w14:paraId="746262F3"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2</w:t>
            </w:r>
          </w:p>
        </w:tc>
        <w:tc>
          <w:tcPr>
            <w:tcW w:w="477" w:type="dxa"/>
          </w:tcPr>
          <w:p w14:paraId="7D7B03A7"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c>
          <w:tcPr>
            <w:tcW w:w="459" w:type="dxa"/>
          </w:tcPr>
          <w:p w14:paraId="734815C6"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2</w:t>
            </w:r>
          </w:p>
        </w:tc>
        <w:tc>
          <w:tcPr>
            <w:tcW w:w="459" w:type="dxa"/>
          </w:tcPr>
          <w:p w14:paraId="2F7853BA"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1</w:t>
            </w:r>
          </w:p>
        </w:tc>
        <w:tc>
          <w:tcPr>
            <w:tcW w:w="445" w:type="dxa"/>
          </w:tcPr>
          <w:p w14:paraId="3630D7B8"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r>
      <w:tr w:rsidR="00312FC6" w:rsidRPr="004C4F6D" w14:paraId="2CE044C0" w14:textId="77777777">
        <w:trPr>
          <w:trHeight w:val="20"/>
        </w:trPr>
        <w:tc>
          <w:tcPr>
            <w:tcW w:w="1267" w:type="dxa"/>
          </w:tcPr>
          <w:p w14:paraId="7B5148FF" w14:textId="77777777" w:rsidR="00312FC6" w:rsidRPr="004C4F6D" w:rsidRDefault="003919DE"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Makati</w:t>
            </w:r>
          </w:p>
        </w:tc>
        <w:tc>
          <w:tcPr>
            <w:tcW w:w="1597" w:type="dxa"/>
          </w:tcPr>
          <w:p w14:paraId="786A4E20"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5</w:t>
            </w:r>
          </w:p>
        </w:tc>
        <w:tc>
          <w:tcPr>
            <w:tcW w:w="1559" w:type="dxa"/>
          </w:tcPr>
          <w:p w14:paraId="21442C9F"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16,406,831.96</w:t>
            </w:r>
          </w:p>
        </w:tc>
        <w:tc>
          <w:tcPr>
            <w:tcW w:w="1656" w:type="dxa"/>
          </w:tcPr>
          <w:p w14:paraId="4F708124"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24,770,800.00</w:t>
            </w:r>
          </w:p>
        </w:tc>
        <w:tc>
          <w:tcPr>
            <w:tcW w:w="620" w:type="dxa"/>
          </w:tcPr>
          <w:p w14:paraId="2A171074"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3</w:t>
            </w:r>
          </w:p>
        </w:tc>
        <w:tc>
          <w:tcPr>
            <w:tcW w:w="477" w:type="dxa"/>
          </w:tcPr>
          <w:p w14:paraId="51DF0BD4"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1</w:t>
            </w:r>
          </w:p>
        </w:tc>
        <w:tc>
          <w:tcPr>
            <w:tcW w:w="459" w:type="dxa"/>
          </w:tcPr>
          <w:p w14:paraId="74D5AE1C"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5</w:t>
            </w:r>
          </w:p>
        </w:tc>
        <w:tc>
          <w:tcPr>
            <w:tcW w:w="459" w:type="dxa"/>
          </w:tcPr>
          <w:p w14:paraId="4485702B"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c>
          <w:tcPr>
            <w:tcW w:w="445" w:type="dxa"/>
          </w:tcPr>
          <w:p w14:paraId="4E2CEF2C"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r>
      <w:tr w:rsidR="00312FC6" w:rsidRPr="004C4F6D" w14:paraId="31087560" w14:textId="77777777">
        <w:trPr>
          <w:trHeight w:val="20"/>
        </w:trPr>
        <w:tc>
          <w:tcPr>
            <w:tcW w:w="1267" w:type="dxa"/>
          </w:tcPr>
          <w:p w14:paraId="32BA4474" w14:textId="77777777" w:rsidR="00312FC6" w:rsidRPr="004C4F6D" w:rsidRDefault="003919DE"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Quezon City</w:t>
            </w:r>
          </w:p>
        </w:tc>
        <w:tc>
          <w:tcPr>
            <w:tcW w:w="1597" w:type="dxa"/>
          </w:tcPr>
          <w:p w14:paraId="2EE0F3A7"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12</w:t>
            </w:r>
          </w:p>
        </w:tc>
        <w:tc>
          <w:tcPr>
            <w:tcW w:w="1559" w:type="dxa"/>
          </w:tcPr>
          <w:p w14:paraId="06F01B86"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22,275,218.07</w:t>
            </w:r>
          </w:p>
        </w:tc>
        <w:tc>
          <w:tcPr>
            <w:tcW w:w="1656" w:type="dxa"/>
          </w:tcPr>
          <w:p w14:paraId="445C8C97"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37,217,400.00</w:t>
            </w:r>
          </w:p>
        </w:tc>
        <w:tc>
          <w:tcPr>
            <w:tcW w:w="620" w:type="dxa"/>
          </w:tcPr>
          <w:p w14:paraId="2D8A5D71"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5</w:t>
            </w:r>
          </w:p>
        </w:tc>
        <w:tc>
          <w:tcPr>
            <w:tcW w:w="477" w:type="dxa"/>
          </w:tcPr>
          <w:p w14:paraId="302F70B3"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c>
          <w:tcPr>
            <w:tcW w:w="459" w:type="dxa"/>
          </w:tcPr>
          <w:p w14:paraId="270342CB"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2</w:t>
            </w:r>
          </w:p>
        </w:tc>
        <w:tc>
          <w:tcPr>
            <w:tcW w:w="459" w:type="dxa"/>
          </w:tcPr>
          <w:p w14:paraId="43262F53"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4</w:t>
            </w:r>
          </w:p>
        </w:tc>
        <w:tc>
          <w:tcPr>
            <w:tcW w:w="445" w:type="dxa"/>
          </w:tcPr>
          <w:p w14:paraId="2AF26B3B"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r>
      <w:tr w:rsidR="00312FC6" w:rsidRPr="004C4F6D" w14:paraId="54A7186B" w14:textId="77777777">
        <w:trPr>
          <w:trHeight w:val="20"/>
        </w:trPr>
        <w:tc>
          <w:tcPr>
            <w:tcW w:w="1267" w:type="dxa"/>
          </w:tcPr>
          <w:p w14:paraId="2C8BAD88" w14:textId="77777777" w:rsidR="00312FC6" w:rsidRPr="004C4F6D" w:rsidRDefault="003919DE"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Muntinlupa</w:t>
            </w:r>
          </w:p>
        </w:tc>
        <w:tc>
          <w:tcPr>
            <w:tcW w:w="1597" w:type="dxa"/>
          </w:tcPr>
          <w:p w14:paraId="058D0317"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7</w:t>
            </w:r>
          </w:p>
        </w:tc>
        <w:tc>
          <w:tcPr>
            <w:tcW w:w="1559" w:type="dxa"/>
          </w:tcPr>
          <w:p w14:paraId="0DBC442D"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18,783,825.93</w:t>
            </w:r>
          </w:p>
        </w:tc>
        <w:tc>
          <w:tcPr>
            <w:tcW w:w="1656" w:type="dxa"/>
          </w:tcPr>
          <w:p w14:paraId="0A903C61"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17,677,070.00</w:t>
            </w:r>
          </w:p>
        </w:tc>
        <w:tc>
          <w:tcPr>
            <w:tcW w:w="620" w:type="dxa"/>
          </w:tcPr>
          <w:p w14:paraId="5A691A65"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c>
          <w:tcPr>
            <w:tcW w:w="477" w:type="dxa"/>
          </w:tcPr>
          <w:p w14:paraId="0D2687A3"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c>
          <w:tcPr>
            <w:tcW w:w="459" w:type="dxa"/>
          </w:tcPr>
          <w:p w14:paraId="1A2E1DC2"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7</w:t>
            </w:r>
          </w:p>
        </w:tc>
        <w:tc>
          <w:tcPr>
            <w:tcW w:w="459" w:type="dxa"/>
          </w:tcPr>
          <w:p w14:paraId="76384F06"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7</w:t>
            </w:r>
          </w:p>
        </w:tc>
        <w:tc>
          <w:tcPr>
            <w:tcW w:w="445" w:type="dxa"/>
          </w:tcPr>
          <w:p w14:paraId="693C982E"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r>
      <w:tr w:rsidR="00312FC6" w:rsidRPr="004C4F6D" w14:paraId="03C91730" w14:textId="77777777">
        <w:trPr>
          <w:trHeight w:val="20"/>
        </w:trPr>
        <w:tc>
          <w:tcPr>
            <w:tcW w:w="1267" w:type="dxa"/>
          </w:tcPr>
          <w:p w14:paraId="29609671" w14:textId="77777777" w:rsidR="00312FC6" w:rsidRPr="004C4F6D" w:rsidRDefault="003919DE"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Pasig City</w:t>
            </w:r>
          </w:p>
        </w:tc>
        <w:tc>
          <w:tcPr>
            <w:tcW w:w="1597" w:type="dxa"/>
          </w:tcPr>
          <w:p w14:paraId="79783128"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3</w:t>
            </w:r>
          </w:p>
        </w:tc>
        <w:tc>
          <w:tcPr>
            <w:tcW w:w="1559" w:type="dxa"/>
          </w:tcPr>
          <w:p w14:paraId="1302D002"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2,349,185.12</w:t>
            </w:r>
          </w:p>
        </w:tc>
        <w:tc>
          <w:tcPr>
            <w:tcW w:w="1656" w:type="dxa"/>
          </w:tcPr>
          <w:p w14:paraId="6DF29598"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9,616,000.00</w:t>
            </w:r>
          </w:p>
        </w:tc>
        <w:tc>
          <w:tcPr>
            <w:tcW w:w="620" w:type="dxa"/>
          </w:tcPr>
          <w:p w14:paraId="0E61E341"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3</w:t>
            </w:r>
          </w:p>
        </w:tc>
        <w:tc>
          <w:tcPr>
            <w:tcW w:w="477" w:type="dxa"/>
          </w:tcPr>
          <w:p w14:paraId="5C57F1FA"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1</w:t>
            </w:r>
          </w:p>
        </w:tc>
        <w:tc>
          <w:tcPr>
            <w:tcW w:w="459" w:type="dxa"/>
          </w:tcPr>
          <w:p w14:paraId="34EAFAF5"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3</w:t>
            </w:r>
          </w:p>
        </w:tc>
        <w:tc>
          <w:tcPr>
            <w:tcW w:w="459" w:type="dxa"/>
          </w:tcPr>
          <w:p w14:paraId="35AA5B80"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c>
          <w:tcPr>
            <w:tcW w:w="445" w:type="dxa"/>
          </w:tcPr>
          <w:p w14:paraId="638516D0"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r>
      <w:tr w:rsidR="00312FC6" w:rsidRPr="004C4F6D" w14:paraId="13D2819D" w14:textId="77777777">
        <w:trPr>
          <w:trHeight w:val="20"/>
        </w:trPr>
        <w:tc>
          <w:tcPr>
            <w:tcW w:w="1267" w:type="dxa"/>
            <w:tcBorders>
              <w:bottom w:val="single" w:sz="4" w:space="0" w:color="auto"/>
            </w:tcBorders>
          </w:tcPr>
          <w:p w14:paraId="548B35F2" w14:textId="77777777" w:rsidR="00312FC6" w:rsidRPr="004C4F6D" w:rsidRDefault="003919DE"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Parañaque</w:t>
            </w:r>
          </w:p>
        </w:tc>
        <w:tc>
          <w:tcPr>
            <w:tcW w:w="1597" w:type="dxa"/>
            <w:tcBorders>
              <w:bottom w:val="single" w:sz="4" w:space="0" w:color="auto"/>
            </w:tcBorders>
          </w:tcPr>
          <w:p w14:paraId="7BA176E0"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10</w:t>
            </w:r>
          </w:p>
        </w:tc>
        <w:tc>
          <w:tcPr>
            <w:tcW w:w="1559" w:type="dxa"/>
            <w:tcBorders>
              <w:bottom w:val="single" w:sz="4" w:space="0" w:color="auto"/>
            </w:tcBorders>
          </w:tcPr>
          <w:p w14:paraId="7C5A7A24"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4,916,123.43</w:t>
            </w:r>
          </w:p>
        </w:tc>
        <w:tc>
          <w:tcPr>
            <w:tcW w:w="1656" w:type="dxa"/>
            <w:tcBorders>
              <w:bottom w:val="single" w:sz="4" w:space="0" w:color="auto"/>
            </w:tcBorders>
          </w:tcPr>
          <w:p w14:paraId="360CA034"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16,270,000.00</w:t>
            </w:r>
          </w:p>
        </w:tc>
        <w:tc>
          <w:tcPr>
            <w:tcW w:w="620" w:type="dxa"/>
            <w:tcBorders>
              <w:bottom w:val="single" w:sz="4" w:space="0" w:color="auto"/>
            </w:tcBorders>
          </w:tcPr>
          <w:p w14:paraId="1D6ABEBD"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6</w:t>
            </w:r>
          </w:p>
        </w:tc>
        <w:tc>
          <w:tcPr>
            <w:tcW w:w="477" w:type="dxa"/>
            <w:tcBorders>
              <w:bottom w:val="single" w:sz="4" w:space="0" w:color="auto"/>
            </w:tcBorders>
          </w:tcPr>
          <w:p w14:paraId="232415F4"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1</w:t>
            </w:r>
          </w:p>
        </w:tc>
        <w:tc>
          <w:tcPr>
            <w:tcW w:w="459" w:type="dxa"/>
            <w:tcBorders>
              <w:bottom w:val="single" w:sz="4" w:space="0" w:color="auto"/>
            </w:tcBorders>
          </w:tcPr>
          <w:p w14:paraId="3A6AFB72"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eastAsia="en-PH"/>
              </w:rPr>
              <w:t>10</w:t>
            </w:r>
          </w:p>
        </w:tc>
        <w:tc>
          <w:tcPr>
            <w:tcW w:w="459" w:type="dxa"/>
            <w:tcBorders>
              <w:bottom w:val="single" w:sz="4" w:space="0" w:color="auto"/>
            </w:tcBorders>
          </w:tcPr>
          <w:p w14:paraId="353D1B08"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c>
          <w:tcPr>
            <w:tcW w:w="445" w:type="dxa"/>
            <w:tcBorders>
              <w:bottom w:val="single" w:sz="4" w:space="0" w:color="auto"/>
            </w:tcBorders>
          </w:tcPr>
          <w:p w14:paraId="0442DADA"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sz w:val="20"/>
                <w:szCs w:val="20"/>
                <w:lang w:val="en-US" w:eastAsia="en-PH"/>
              </w:rPr>
              <w:t>0</w:t>
            </w:r>
          </w:p>
        </w:tc>
      </w:tr>
      <w:tr w:rsidR="00312FC6" w:rsidRPr="004C4F6D" w14:paraId="3F608565" w14:textId="77777777">
        <w:trPr>
          <w:trHeight w:val="20"/>
        </w:trPr>
        <w:tc>
          <w:tcPr>
            <w:tcW w:w="1267" w:type="dxa"/>
            <w:tcBorders>
              <w:top w:val="single" w:sz="4" w:space="0" w:color="auto"/>
              <w:bottom w:val="double" w:sz="4" w:space="0" w:color="auto"/>
            </w:tcBorders>
          </w:tcPr>
          <w:p w14:paraId="0DC32227" w14:textId="77777777" w:rsidR="00312FC6" w:rsidRPr="004C4F6D" w:rsidRDefault="003919DE"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xml:space="preserve">Total </w:t>
            </w:r>
          </w:p>
        </w:tc>
        <w:tc>
          <w:tcPr>
            <w:tcW w:w="1597" w:type="dxa"/>
            <w:tcBorders>
              <w:top w:val="single" w:sz="4" w:space="0" w:color="auto"/>
              <w:bottom w:val="double" w:sz="4" w:space="0" w:color="auto"/>
            </w:tcBorders>
          </w:tcPr>
          <w:p w14:paraId="1201FBE7"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48</w:t>
            </w:r>
          </w:p>
        </w:tc>
        <w:tc>
          <w:tcPr>
            <w:tcW w:w="1559" w:type="dxa"/>
            <w:tcBorders>
              <w:top w:val="single" w:sz="4" w:space="0" w:color="auto"/>
              <w:bottom w:val="double" w:sz="4" w:space="0" w:color="auto"/>
            </w:tcBorders>
          </w:tcPr>
          <w:p w14:paraId="71297633"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xml:space="preserve"> 96,323,073.47 </w:t>
            </w:r>
          </w:p>
        </w:tc>
        <w:tc>
          <w:tcPr>
            <w:tcW w:w="1656" w:type="dxa"/>
            <w:tcBorders>
              <w:top w:val="single" w:sz="4" w:space="0" w:color="auto"/>
              <w:bottom w:val="double" w:sz="4" w:space="0" w:color="auto"/>
            </w:tcBorders>
          </w:tcPr>
          <w:p w14:paraId="5EA885F3"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xml:space="preserve">309,905,162.21 </w:t>
            </w:r>
          </w:p>
        </w:tc>
        <w:tc>
          <w:tcPr>
            <w:tcW w:w="620" w:type="dxa"/>
            <w:tcBorders>
              <w:top w:val="single" w:sz="4" w:space="0" w:color="auto"/>
              <w:bottom w:val="double" w:sz="4" w:space="0" w:color="auto"/>
            </w:tcBorders>
          </w:tcPr>
          <w:p w14:paraId="0227AC33"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26</w:t>
            </w:r>
          </w:p>
        </w:tc>
        <w:tc>
          <w:tcPr>
            <w:tcW w:w="477" w:type="dxa"/>
            <w:tcBorders>
              <w:top w:val="single" w:sz="4" w:space="0" w:color="auto"/>
              <w:bottom w:val="double" w:sz="4" w:space="0" w:color="auto"/>
            </w:tcBorders>
          </w:tcPr>
          <w:p w14:paraId="4705C9BD"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sz w:val="20"/>
                <w:szCs w:val="20"/>
                <w:lang w:eastAsia="en-PH"/>
              </w:rPr>
              <w:t>4</w:t>
            </w:r>
          </w:p>
        </w:tc>
        <w:tc>
          <w:tcPr>
            <w:tcW w:w="459" w:type="dxa"/>
            <w:tcBorders>
              <w:top w:val="single" w:sz="4" w:space="0" w:color="auto"/>
              <w:bottom w:val="double" w:sz="4" w:space="0" w:color="auto"/>
            </w:tcBorders>
          </w:tcPr>
          <w:p w14:paraId="44192DC1"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34</w:t>
            </w:r>
          </w:p>
        </w:tc>
        <w:tc>
          <w:tcPr>
            <w:tcW w:w="459" w:type="dxa"/>
            <w:tcBorders>
              <w:top w:val="single" w:sz="4" w:space="0" w:color="auto"/>
              <w:bottom w:val="double" w:sz="4" w:space="0" w:color="auto"/>
            </w:tcBorders>
          </w:tcPr>
          <w:p w14:paraId="14FD2AA5"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14</w:t>
            </w:r>
          </w:p>
        </w:tc>
        <w:tc>
          <w:tcPr>
            <w:tcW w:w="445" w:type="dxa"/>
            <w:tcBorders>
              <w:top w:val="single" w:sz="4" w:space="0" w:color="auto"/>
              <w:bottom w:val="double" w:sz="4" w:space="0" w:color="auto"/>
            </w:tcBorders>
          </w:tcPr>
          <w:p w14:paraId="4F59B423"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2</w:t>
            </w:r>
          </w:p>
        </w:tc>
      </w:tr>
    </w:tbl>
    <w:p w14:paraId="74EA55FF" w14:textId="139D96EF" w:rsidR="00312FC6" w:rsidRPr="004C4F6D" w:rsidRDefault="003919DE" w:rsidP="004C4F6D">
      <w:pPr>
        <w:pStyle w:val="ListParagraph"/>
        <w:numPr>
          <w:ilvl w:val="0"/>
          <w:numId w:val="40"/>
        </w:numPr>
        <w:spacing w:after="0" w:line="240" w:lineRule="auto"/>
        <w:ind w:right="133"/>
        <w:jc w:val="both"/>
        <w:rPr>
          <w:rFonts w:ascii="Arial" w:eastAsia="Arial Narrow" w:hAnsi="Arial" w:cs="Arial"/>
          <w:sz w:val="20"/>
          <w:szCs w:val="20"/>
        </w:rPr>
      </w:pPr>
      <w:r w:rsidRPr="004C4F6D">
        <w:rPr>
          <w:rFonts w:ascii="Arial" w:eastAsia="Arial Narrow" w:hAnsi="Arial" w:cs="Arial"/>
          <w:i/>
          <w:sz w:val="20"/>
          <w:szCs w:val="20"/>
        </w:rPr>
        <w:t>Occupied by informal settlers without lease payment to the Bank</w:t>
      </w:r>
    </w:p>
    <w:p w14:paraId="5CF1FD76" w14:textId="56FA1EF4" w:rsidR="00312FC6" w:rsidRPr="004C4F6D" w:rsidRDefault="003919DE" w:rsidP="004C4F6D">
      <w:pPr>
        <w:pStyle w:val="ListParagraph"/>
        <w:numPr>
          <w:ilvl w:val="0"/>
          <w:numId w:val="40"/>
        </w:numPr>
        <w:spacing w:after="0" w:line="240" w:lineRule="auto"/>
        <w:ind w:right="133"/>
        <w:jc w:val="both"/>
        <w:rPr>
          <w:rFonts w:ascii="Arial" w:eastAsia="Arial Narrow" w:hAnsi="Arial" w:cs="Arial"/>
          <w:sz w:val="20"/>
          <w:szCs w:val="20"/>
        </w:rPr>
      </w:pPr>
      <w:r w:rsidRPr="004C4F6D">
        <w:rPr>
          <w:rFonts w:ascii="Arial" w:eastAsia="Arial Narrow" w:hAnsi="Arial" w:cs="Arial"/>
          <w:i/>
          <w:sz w:val="20"/>
          <w:szCs w:val="20"/>
        </w:rPr>
        <w:t>Subleased/sold by former owners</w:t>
      </w:r>
    </w:p>
    <w:p w14:paraId="4A959260" w14:textId="2103F62C" w:rsidR="00312FC6" w:rsidRPr="004C4F6D" w:rsidRDefault="003B2079" w:rsidP="004C4F6D">
      <w:pPr>
        <w:pStyle w:val="ListParagraph"/>
        <w:numPr>
          <w:ilvl w:val="0"/>
          <w:numId w:val="40"/>
        </w:numPr>
        <w:spacing w:after="0" w:line="240" w:lineRule="auto"/>
        <w:ind w:right="133"/>
        <w:jc w:val="both"/>
        <w:rPr>
          <w:rFonts w:ascii="Arial" w:eastAsia="Arial Narrow" w:hAnsi="Arial" w:cs="Arial"/>
          <w:sz w:val="20"/>
          <w:szCs w:val="20"/>
        </w:rPr>
      </w:pPr>
      <w:r w:rsidRPr="004C4F6D">
        <w:rPr>
          <w:rFonts w:ascii="Arial" w:eastAsia="Arial Narrow" w:hAnsi="Arial" w:cs="Arial"/>
          <w:i/>
          <w:sz w:val="20"/>
          <w:szCs w:val="20"/>
        </w:rPr>
        <w:t>W</w:t>
      </w:r>
      <w:r w:rsidR="003919DE" w:rsidRPr="004C4F6D">
        <w:rPr>
          <w:rFonts w:ascii="Arial" w:eastAsia="Arial Narrow" w:hAnsi="Arial" w:cs="Arial"/>
          <w:i/>
          <w:sz w:val="20"/>
          <w:szCs w:val="20"/>
        </w:rPr>
        <w:t>ithout signage stating it is a Bank property and available for sale/lease</w:t>
      </w:r>
    </w:p>
    <w:p w14:paraId="671D460A" w14:textId="5F817E42" w:rsidR="00312FC6" w:rsidRPr="004C4F6D" w:rsidRDefault="003919DE" w:rsidP="004C4F6D">
      <w:pPr>
        <w:pStyle w:val="ListParagraph"/>
        <w:numPr>
          <w:ilvl w:val="0"/>
          <w:numId w:val="40"/>
        </w:numPr>
        <w:spacing w:after="0" w:line="240" w:lineRule="auto"/>
        <w:ind w:right="133"/>
        <w:jc w:val="both"/>
        <w:rPr>
          <w:rFonts w:ascii="Arial" w:eastAsia="Arial Narrow" w:hAnsi="Arial" w:cs="Arial"/>
          <w:sz w:val="20"/>
          <w:szCs w:val="20"/>
        </w:rPr>
      </w:pPr>
      <w:r w:rsidRPr="004C4F6D">
        <w:rPr>
          <w:rFonts w:ascii="Arial" w:eastAsia="Arial Narrow" w:hAnsi="Arial" w:cs="Arial"/>
          <w:i/>
          <w:sz w:val="20"/>
          <w:szCs w:val="20"/>
        </w:rPr>
        <w:t>Property not properly maintained</w:t>
      </w:r>
    </w:p>
    <w:p w14:paraId="6914CD50" w14:textId="1DEE4AFB" w:rsidR="00312FC6" w:rsidRPr="004C4F6D" w:rsidRDefault="003B2079" w:rsidP="004C4F6D">
      <w:pPr>
        <w:pStyle w:val="ListParagraph"/>
        <w:numPr>
          <w:ilvl w:val="0"/>
          <w:numId w:val="40"/>
        </w:numPr>
        <w:spacing w:after="0" w:line="240" w:lineRule="auto"/>
        <w:ind w:right="133"/>
        <w:jc w:val="both"/>
        <w:rPr>
          <w:rFonts w:ascii="Arial" w:eastAsia="Arial Narrow" w:hAnsi="Arial" w:cs="Arial"/>
          <w:sz w:val="20"/>
          <w:szCs w:val="20"/>
        </w:rPr>
      </w:pPr>
      <w:r w:rsidRPr="004C4F6D">
        <w:rPr>
          <w:rFonts w:ascii="Arial" w:eastAsia="Arial Narrow" w:hAnsi="Arial" w:cs="Arial"/>
          <w:i/>
          <w:sz w:val="20"/>
          <w:szCs w:val="20"/>
        </w:rPr>
        <w:t>U</w:t>
      </w:r>
      <w:r w:rsidR="003919DE" w:rsidRPr="004C4F6D">
        <w:rPr>
          <w:rFonts w:ascii="Arial" w:eastAsia="Arial Narrow" w:hAnsi="Arial" w:cs="Arial"/>
          <w:i/>
          <w:sz w:val="20"/>
          <w:szCs w:val="20"/>
        </w:rPr>
        <w:t>nlocated property</w:t>
      </w:r>
    </w:p>
    <w:p w14:paraId="5E15748A" w14:textId="77777777" w:rsidR="00312FC6" w:rsidRPr="004C4F6D" w:rsidRDefault="00312FC6" w:rsidP="004C4F6D">
      <w:pPr>
        <w:spacing w:after="0" w:line="240" w:lineRule="auto"/>
        <w:ind w:left="775" w:right="133"/>
        <w:jc w:val="both"/>
        <w:rPr>
          <w:rFonts w:ascii="Arial" w:eastAsia="Arial Narrow" w:hAnsi="Arial" w:cs="Arial"/>
          <w:color w:val="000000"/>
          <w:lang w:eastAsia="en-PH"/>
        </w:rPr>
      </w:pPr>
    </w:p>
    <w:p w14:paraId="7824C359" w14:textId="16BC926F"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lang w:eastAsia="en-PH"/>
        </w:rPr>
      </w:pPr>
      <w:r w:rsidRPr="004C4F6D">
        <w:rPr>
          <w:rFonts w:ascii="Arial" w:eastAsia="Arial Narrow" w:hAnsi="Arial" w:cs="Arial"/>
          <w:color w:val="000000"/>
          <w:lang w:eastAsia="en-PH"/>
        </w:rPr>
        <w:t>Details of the inspection are as follows:</w:t>
      </w:r>
    </w:p>
    <w:p w14:paraId="356718C8" w14:textId="77777777" w:rsidR="00312FC6" w:rsidRPr="004C4F6D" w:rsidRDefault="00312FC6" w:rsidP="004C4F6D">
      <w:pPr>
        <w:spacing w:after="0" w:line="240" w:lineRule="auto"/>
        <w:ind w:right="133"/>
        <w:jc w:val="both"/>
        <w:rPr>
          <w:rFonts w:ascii="Arial" w:eastAsia="Arial Narrow" w:hAnsi="Arial" w:cs="Arial"/>
          <w:color w:val="000000"/>
          <w:lang w:eastAsia="en-PH"/>
        </w:rPr>
      </w:pPr>
    </w:p>
    <w:p w14:paraId="4F2E766A" w14:textId="0EA33B39" w:rsidR="00312FC6" w:rsidRPr="004C4F6D" w:rsidRDefault="003919DE" w:rsidP="004C4F6D">
      <w:pPr>
        <w:pStyle w:val="ListParagraph"/>
        <w:numPr>
          <w:ilvl w:val="0"/>
          <w:numId w:val="24"/>
        </w:numPr>
        <w:spacing w:after="0" w:line="240" w:lineRule="auto"/>
        <w:ind w:left="1134" w:hanging="425"/>
        <w:jc w:val="both"/>
        <w:rPr>
          <w:rFonts w:ascii="Arial" w:eastAsia="Arial Narrow" w:hAnsi="Arial" w:cs="Arial"/>
          <w:color w:val="000000"/>
          <w:lang w:eastAsia="en-PH"/>
        </w:rPr>
      </w:pPr>
      <w:r w:rsidRPr="004C4F6D">
        <w:rPr>
          <w:rFonts w:ascii="Arial" w:eastAsia="Arial Narrow" w:hAnsi="Arial" w:cs="Arial"/>
          <w:color w:val="000000"/>
          <w:lang w:eastAsia="en-PH"/>
        </w:rPr>
        <w:t>Twenty-six</w:t>
      </w:r>
      <w:r w:rsidR="00E1689F">
        <w:rPr>
          <w:rFonts w:ascii="Arial" w:eastAsia="Arial Narrow" w:hAnsi="Arial" w:cs="Arial"/>
          <w:color w:val="000000"/>
          <w:lang w:eastAsia="en-PH"/>
        </w:rPr>
        <w:t xml:space="preserve"> (26)</w:t>
      </w:r>
      <w:r w:rsidRPr="004C4F6D">
        <w:rPr>
          <w:rFonts w:ascii="Arial" w:eastAsia="Arial Narrow" w:hAnsi="Arial" w:cs="Arial"/>
          <w:color w:val="000000"/>
          <w:lang w:eastAsia="en-PH"/>
        </w:rPr>
        <w:t xml:space="preserve"> properties are occupied by informal settlers</w:t>
      </w:r>
      <w:r w:rsidR="00355D73" w:rsidRPr="004C4F6D">
        <w:rPr>
          <w:rFonts w:ascii="Arial" w:eastAsia="Arial Narrow" w:hAnsi="Arial" w:cs="Arial"/>
          <w:color w:val="000000"/>
          <w:lang w:eastAsia="en-PH"/>
        </w:rPr>
        <w:t xml:space="preserve"> and </w:t>
      </w:r>
      <w:r w:rsidRPr="004C4F6D">
        <w:rPr>
          <w:rFonts w:ascii="Arial" w:eastAsia="Arial Narrow" w:hAnsi="Arial" w:cs="Arial"/>
          <w:color w:val="000000"/>
          <w:lang w:eastAsia="en-PH"/>
        </w:rPr>
        <w:t>former owners,</w:t>
      </w:r>
      <w:r w:rsidR="00355D73" w:rsidRPr="004C4F6D">
        <w:rPr>
          <w:rFonts w:ascii="Arial" w:eastAsia="Arial Narrow" w:hAnsi="Arial" w:cs="Arial"/>
          <w:color w:val="000000"/>
          <w:lang w:eastAsia="en-PH"/>
        </w:rPr>
        <w:t xml:space="preserve"> </w:t>
      </w:r>
      <w:r w:rsidRPr="004C4F6D">
        <w:rPr>
          <w:rFonts w:ascii="Arial" w:eastAsia="Arial Narrow" w:hAnsi="Arial" w:cs="Arial"/>
          <w:color w:val="000000"/>
          <w:lang w:eastAsia="en-PH"/>
        </w:rPr>
        <w:t xml:space="preserve">being used as their residence, parking lot, or as business establishments without lease payments to the bank.  The occupants continue to reside in the property free of charge, and enjoying its civil fruits. </w:t>
      </w:r>
      <w:r w:rsidR="00EA7A5C" w:rsidRPr="004C4F6D">
        <w:rPr>
          <w:rFonts w:ascii="Arial" w:eastAsia="Arial Narrow" w:hAnsi="Arial" w:cs="Arial"/>
          <w:color w:val="000000"/>
          <w:lang w:eastAsia="en-PH"/>
        </w:rPr>
        <w:t>There was no information as to how long</w:t>
      </w:r>
      <w:r w:rsidR="00356D96" w:rsidRPr="004C4F6D">
        <w:rPr>
          <w:rFonts w:ascii="Arial" w:eastAsia="Arial Narrow" w:hAnsi="Arial" w:cs="Arial"/>
          <w:color w:val="000000"/>
          <w:lang w:eastAsia="en-PH"/>
        </w:rPr>
        <w:t xml:space="preserve"> the said properties were occupied</w:t>
      </w:r>
      <w:r w:rsidR="00EA7A5C" w:rsidRPr="004C4F6D">
        <w:rPr>
          <w:rFonts w:ascii="Arial" w:eastAsia="Arial Narrow" w:hAnsi="Arial" w:cs="Arial"/>
          <w:color w:val="000000"/>
          <w:lang w:eastAsia="en-PH"/>
        </w:rPr>
        <w:t xml:space="preserve"> </w:t>
      </w:r>
      <w:r w:rsidR="00356D96" w:rsidRPr="004C4F6D">
        <w:rPr>
          <w:rFonts w:ascii="Arial" w:eastAsia="Arial Narrow" w:hAnsi="Arial" w:cs="Arial"/>
          <w:color w:val="000000"/>
          <w:lang w:eastAsia="en-PH"/>
        </w:rPr>
        <w:t>by informal settlers.</w:t>
      </w:r>
    </w:p>
    <w:p w14:paraId="44819E78" w14:textId="77777777" w:rsidR="00312FC6" w:rsidRPr="004C4F6D" w:rsidRDefault="00312FC6" w:rsidP="004C4F6D">
      <w:pPr>
        <w:spacing w:after="0" w:line="240" w:lineRule="auto"/>
        <w:ind w:left="1134" w:right="133" w:hanging="425"/>
        <w:jc w:val="both"/>
        <w:rPr>
          <w:rFonts w:ascii="Arial" w:eastAsia="Arial Narrow" w:hAnsi="Arial" w:cs="Arial"/>
          <w:color w:val="000000"/>
          <w:lang w:eastAsia="en-PH"/>
        </w:rPr>
      </w:pPr>
    </w:p>
    <w:p w14:paraId="3BA932E4" w14:textId="1D4A0076" w:rsidR="00312FC6" w:rsidRPr="004C4F6D" w:rsidRDefault="00355D73" w:rsidP="004C4F6D">
      <w:pPr>
        <w:spacing w:after="0" w:line="240" w:lineRule="auto"/>
        <w:ind w:left="1134"/>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SPAD </w:t>
      </w:r>
      <w:r w:rsidR="003919DE" w:rsidRPr="004C4F6D">
        <w:rPr>
          <w:rFonts w:ascii="Arial" w:eastAsia="Arial Narrow" w:hAnsi="Arial" w:cs="Arial"/>
          <w:color w:val="000000"/>
          <w:lang w:eastAsia="en-PH"/>
        </w:rPr>
        <w:t xml:space="preserve">explained that upon knowledge of illegal occupancy, </w:t>
      </w:r>
      <w:r w:rsidRPr="004C4F6D">
        <w:rPr>
          <w:rFonts w:ascii="Arial" w:eastAsia="Arial Narrow" w:hAnsi="Arial" w:cs="Arial"/>
          <w:color w:val="000000"/>
          <w:lang w:eastAsia="en-PH"/>
        </w:rPr>
        <w:t xml:space="preserve">a </w:t>
      </w:r>
      <w:r w:rsidR="0011533A">
        <w:rPr>
          <w:rFonts w:ascii="Arial" w:eastAsia="Arial Narrow" w:hAnsi="Arial" w:cs="Arial"/>
          <w:color w:val="000000"/>
          <w:lang w:eastAsia="en-PH"/>
        </w:rPr>
        <w:t>Notice to V</w:t>
      </w:r>
      <w:r w:rsidR="003919DE" w:rsidRPr="004C4F6D">
        <w:rPr>
          <w:rFonts w:ascii="Arial" w:eastAsia="Arial Narrow" w:hAnsi="Arial" w:cs="Arial"/>
          <w:color w:val="000000"/>
          <w:lang w:eastAsia="en-PH"/>
        </w:rPr>
        <w:t xml:space="preserve">acate (NTV) </w:t>
      </w:r>
      <w:r w:rsidRPr="004C4F6D">
        <w:rPr>
          <w:rFonts w:ascii="Arial" w:eastAsia="Arial Narrow" w:hAnsi="Arial" w:cs="Arial"/>
          <w:color w:val="000000"/>
          <w:lang w:eastAsia="en-PH"/>
        </w:rPr>
        <w:t xml:space="preserve">is issued </w:t>
      </w:r>
      <w:r w:rsidR="003919DE" w:rsidRPr="004C4F6D">
        <w:rPr>
          <w:rFonts w:ascii="Arial" w:eastAsia="Arial Narrow" w:hAnsi="Arial" w:cs="Arial"/>
          <w:color w:val="000000"/>
          <w:lang w:eastAsia="en-PH"/>
        </w:rPr>
        <w:t>to the occupants</w:t>
      </w:r>
      <w:r w:rsidRPr="004C4F6D">
        <w:rPr>
          <w:rFonts w:ascii="Arial" w:eastAsia="Arial Narrow" w:hAnsi="Arial" w:cs="Arial"/>
          <w:color w:val="000000"/>
          <w:lang w:eastAsia="en-PH"/>
        </w:rPr>
        <w:t>.</w:t>
      </w:r>
      <w:r w:rsidR="003919DE" w:rsidRPr="004C4F6D">
        <w:rPr>
          <w:rFonts w:ascii="Arial" w:eastAsia="Arial Narrow" w:hAnsi="Arial" w:cs="Arial"/>
          <w:color w:val="000000"/>
          <w:lang w:eastAsia="en-PH"/>
        </w:rPr>
        <w:t xml:space="preserve"> </w:t>
      </w:r>
      <w:r w:rsidRPr="004C4F6D">
        <w:rPr>
          <w:rFonts w:ascii="Arial" w:eastAsia="Arial Narrow" w:hAnsi="Arial" w:cs="Arial"/>
          <w:color w:val="000000"/>
          <w:lang w:eastAsia="en-PH"/>
        </w:rPr>
        <w:t>If</w:t>
      </w:r>
      <w:r w:rsidR="003919DE" w:rsidRPr="004C4F6D">
        <w:rPr>
          <w:rFonts w:ascii="Arial" w:eastAsia="Arial Narrow" w:hAnsi="Arial" w:cs="Arial"/>
          <w:color w:val="000000"/>
          <w:lang w:eastAsia="en-PH"/>
        </w:rPr>
        <w:t xml:space="preserve"> the occupants still do not leave the property, SPAD requests from the Litigation Department (LD) to file for Writ of Possession (WOP) with the names of all occupants indicated on the Petition. Asset Recovery Support Department and the LD opined that accepting rental payments from them would establish a lessor-lessee relationship between the Bank and the occupants.  As such, when the time comes that the ROPA needs to be disposed, they averred that the occupant may invoke this relationship and the filing of WOP will no longer be applicable, rather an Eviction Case, which is more tedious, would be applied.  They added that, in the event that after the eviction process, the occupant still refuses to vacate the property, an Illegal Detainer case would apply.  The LD further opined that despite these consequences, it is still within the business judgement of SPAD to accept lease fees to compensate the Bank for their use of its properties and that, on that premise, the SPAD thoroughly evaluates and selective in accepting offers to lease the property, and the contract </w:t>
      </w:r>
      <w:r w:rsidRPr="004C4F6D">
        <w:rPr>
          <w:rFonts w:ascii="Arial" w:eastAsia="Arial Narrow" w:hAnsi="Arial" w:cs="Arial"/>
          <w:color w:val="000000"/>
          <w:lang w:eastAsia="en-PH"/>
        </w:rPr>
        <w:t xml:space="preserve">of lease </w:t>
      </w:r>
      <w:r w:rsidR="003919DE" w:rsidRPr="004C4F6D">
        <w:rPr>
          <w:rFonts w:ascii="Arial" w:eastAsia="Arial Narrow" w:hAnsi="Arial" w:cs="Arial"/>
          <w:color w:val="000000"/>
          <w:lang w:eastAsia="en-PH"/>
        </w:rPr>
        <w:t xml:space="preserve">is on a month-to-month basis only for a maximum period of one year. </w:t>
      </w:r>
    </w:p>
    <w:p w14:paraId="651231BD" w14:textId="77777777" w:rsidR="00312FC6" w:rsidRPr="004C4F6D" w:rsidRDefault="00312FC6" w:rsidP="004C4F6D">
      <w:pPr>
        <w:spacing w:after="0" w:line="240" w:lineRule="auto"/>
        <w:ind w:left="1134" w:right="133"/>
        <w:jc w:val="both"/>
        <w:rPr>
          <w:rFonts w:ascii="Arial" w:eastAsia="Arial Narrow" w:hAnsi="Arial" w:cs="Arial"/>
          <w:color w:val="000000"/>
          <w:lang w:eastAsia="en-PH"/>
        </w:rPr>
      </w:pPr>
    </w:p>
    <w:p w14:paraId="060B027F" w14:textId="1674E3BD" w:rsidR="00312FC6" w:rsidRPr="004C4F6D" w:rsidRDefault="00FF168D" w:rsidP="004C4F6D">
      <w:pPr>
        <w:spacing w:after="0" w:line="240" w:lineRule="auto"/>
        <w:ind w:left="1134"/>
        <w:jc w:val="both"/>
        <w:rPr>
          <w:rFonts w:ascii="Arial" w:eastAsia="Arial Narrow" w:hAnsi="Arial" w:cs="Arial"/>
          <w:color w:val="000000"/>
          <w:lang w:eastAsia="en-PH"/>
        </w:rPr>
      </w:pPr>
      <w:r w:rsidRPr="004C4F6D">
        <w:rPr>
          <w:rFonts w:ascii="Arial" w:eastAsia="Arial Narrow" w:hAnsi="Arial" w:cs="Arial"/>
          <w:lang w:eastAsia="en-PH"/>
        </w:rPr>
        <w:t>However, l</w:t>
      </w:r>
      <w:r w:rsidR="003919DE" w:rsidRPr="004C4F6D">
        <w:rPr>
          <w:rFonts w:ascii="Arial" w:eastAsia="Arial Narrow" w:hAnsi="Arial" w:cs="Arial"/>
          <w:lang w:eastAsia="en-PH"/>
        </w:rPr>
        <w:t>easing</w:t>
      </w:r>
      <w:r w:rsidR="003919DE" w:rsidRPr="004C4F6D">
        <w:rPr>
          <w:rFonts w:ascii="Arial" w:eastAsia="Arial Narrow" w:hAnsi="Arial" w:cs="Arial"/>
          <w:color w:val="000000"/>
          <w:lang w:eastAsia="en-PH"/>
        </w:rPr>
        <w:t xml:space="preserve"> out acquired properties is allowed under Chapter 4 of the Operations Manual on Administration of Consolidated ROPA</w:t>
      </w:r>
      <w:r w:rsidR="00355D73" w:rsidRPr="004C4F6D">
        <w:rPr>
          <w:rFonts w:ascii="Arial" w:eastAsia="Arial Narrow" w:hAnsi="Arial" w:cs="Arial"/>
          <w:color w:val="000000"/>
          <w:lang w:eastAsia="en-PH"/>
        </w:rPr>
        <w:t>.</w:t>
      </w:r>
      <w:r w:rsidR="003919DE" w:rsidRPr="004C4F6D">
        <w:rPr>
          <w:rFonts w:ascii="Arial" w:eastAsia="Arial Narrow" w:hAnsi="Arial" w:cs="Arial"/>
          <w:color w:val="000000"/>
          <w:lang w:eastAsia="en-PH"/>
        </w:rPr>
        <w:t xml:space="preserve"> Under the guidelines on lease of acquired properties, </w:t>
      </w:r>
      <w:r w:rsidR="003919DE" w:rsidRPr="004C4F6D">
        <w:rPr>
          <w:rFonts w:ascii="Arial" w:eastAsia="Arial Narrow" w:hAnsi="Arial" w:cs="Arial"/>
          <w:i/>
          <w:color w:val="000000"/>
          <w:lang w:eastAsia="en-PH"/>
        </w:rPr>
        <w:t>the period of the lease shall be for one (1) year, renewable at the option of the Bank</w:t>
      </w:r>
      <w:r w:rsidR="003919DE" w:rsidRPr="004C4F6D">
        <w:rPr>
          <w:rFonts w:ascii="Arial" w:eastAsia="Arial Narrow" w:hAnsi="Arial" w:cs="Arial"/>
          <w:color w:val="000000"/>
          <w:lang w:eastAsia="en-PH"/>
        </w:rPr>
        <w:t xml:space="preserve">; that </w:t>
      </w:r>
      <w:r w:rsidR="003919DE" w:rsidRPr="004C4F6D">
        <w:rPr>
          <w:rFonts w:ascii="Arial" w:eastAsia="Arial Narrow" w:hAnsi="Arial" w:cs="Arial"/>
          <w:i/>
          <w:color w:val="000000"/>
          <w:lang w:eastAsia="en-PH"/>
        </w:rPr>
        <w:t xml:space="preserve">the lessee shall not assign or transfer his rights under the lease contract nor sublease all or any </w:t>
      </w:r>
      <w:r w:rsidR="003919DE" w:rsidRPr="004C4F6D">
        <w:rPr>
          <w:rFonts w:ascii="Arial" w:eastAsia="Arial Narrow" w:hAnsi="Arial" w:cs="Arial"/>
          <w:i/>
          <w:color w:val="000000"/>
          <w:lang w:eastAsia="en-PH"/>
        </w:rPr>
        <w:lastRenderedPageBreak/>
        <w:t>part of the leased property without the prior written consent of the Bank</w:t>
      </w:r>
      <w:r w:rsidR="003919DE" w:rsidRPr="004C4F6D">
        <w:rPr>
          <w:rFonts w:ascii="Arial" w:eastAsia="Arial Narrow" w:hAnsi="Arial" w:cs="Arial"/>
          <w:color w:val="000000"/>
          <w:lang w:eastAsia="en-PH"/>
        </w:rPr>
        <w:t xml:space="preserve">; and that </w:t>
      </w:r>
      <w:r w:rsidR="003919DE" w:rsidRPr="004C4F6D">
        <w:rPr>
          <w:rFonts w:ascii="Arial" w:eastAsia="Arial Narrow" w:hAnsi="Arial" w:cs="Arial"/>
          <w:i/>
          <w:color w:val="000000"/>
          <w:lang w:eastAsia="en-PH"/>
        </w:rPr>
        <w:t>the Bank shall have the right to cancel or terminate the lease contract without need for legal or judicial action/order</w:t>
      </w:r>
      <w:r w:rsidR="003919DE" w:rsidRPr="004C4F6D">
        <w:rPr>
          <w:rFonts w:ascii="Arial" w:eastAsia="Arial Narrow" w:hAnsi="Arial" w:cs="Arial"/>
          <w:color w:val="000000"/>
          <w:lang w:eastAsia="en-PH"/>
        </w:rPr>
        <w:t xml:space="preserve">; that </w:t>
      </w:r>
      <w:r w:rsidR="003919DE" w:rsidRPr="004C4F6D">
        <w:rPr>
          <w:rFonts w:ascii="Arial" w:eastAsia="Arial Narrow" w:hAnsi="Arial" w:cs="Arial"/>
          <w:i/>
          <w:color w:val="000000"/>
          <w:lang w:eastAsia="en-PH"/>
        </w:rPr>
        <w:t>within two (2) months after the cancellation or termination of the lease contract, the lessee shall be required to peacefully vacate the leased property, otherwise, the Bank shall institute legal proceedings to protect its interest</w:t>
      </w:r>
      <w:r w:rsidR="003919DE" w:rsidRPr="004C4F6D">
        <w:rPr>
          <w:rFonts w:ascii="Arial" w:eastAsia="Arial Narrow" w:hAnsi="Arial" w:cs="Arial"/>
          <w:color w:val="000000"/>
          <w:lang w:eastAsia="en-PH"/>
        </w:rPr>
        <w:t xml:space="preserve">; that </w:t>
      </w:r>
      <w:r w:rsidR="003919DE" w:rsidRPr="004C4F6D">
        <w:rPr>
          <w:rFonts w:ascii="Arial" w:eastAsia="Arial Narrow" w:hAnsi="Arial" w:cs="Arial"/>
          <w:i/>
          <w:color w:val="000000"/>
          <w:lang w:eastAsia="en-PH"/>
        </w:rPr>
        <w:t>the Bank may dispose the property during the term of the lease</w:t>
      </w:r>
      <w:r w:rsidR="003919DE" w:rsidRPr="004C4F6D">
        <w:rPr>
          <w:rFonts w:ascii="Arial" w:eastAsia="Arial Narrow" w:hAnsi="Arial" w:cs="Arial"/>
          <w:color w:val="000000"/>
          <w:lang w:eastAsia="en-PH"/>
        </w:rPr>
        <w:t xml:space="preserve">, and that </w:t>
      </w:r>
      <w:r w:rsidR="003919DE" w:rsidRPr="004C4F6D">
        <w:rPr>
          <w:rFonts w:ascii="Arial" w:eastAsia="Arial Narrow" w:hAnsi="Arial" w:cs="Arial"/>
          <w:i/>
          <w:color w:val="000000"/>
          <w:lang w:eastAsia="en-PH"/>
        </w:rPr>
        <w:t>the buyer must honor the terms and conditions of the lease, otherwise, the lessee and buyer should reach a mutually satisfying agreement</w:t>
      </w:r>
      <w:r w:rsidR="003919DE" w:rsidRPr="004C4F6D">
        <w:rPr>
          <w:rFonts w:ascii="Arial" w:eastAsia="Arial Narrow" w:hAnsi="Arial" w:cs="Arial"/>
          <w:color w:val="000000"/>
          <w:lang w:eastAsia="en-PH"/>
        </w:rPr>
        <w:t>.</w:t>
      </w:r>
      <w:r w:rsidR="00FF0EFB" w:rsidRPr="004C4F6D">
        <w:rPr>
          <w:rFonts w:ascii="Arial" w:eastAsia="Arial Narrow" w:hAnsi="Arial" w:cs="Arial"/>
          <w:color w:val="000000"/>
          <w:lang w:eastAsia="en-PH"/>
        </w:rPr>
        <w:t xml:space="preserve"> We are of the opinion that said guidelines provide sufficient safeguards to prevent circumstances which concerns the LD on the lessor-lessee relationship that may be invoked by the occupant later and the filing of WOP no longer applicable. If these conditions are included in the terms and conditions of the lease agreements entered into by the Bank with lessees and complied with, the Bank’s interest shall be protected and shall not be precluded from instituting applicable legal remedies to enforce occupants to vacate the properties.</w:t>
      </w:r>
    </w:p>
    <w:p w14:paraId="6F6B65A6" w14:textId="77777777" w:rsidR="00312FC6" w:rsidRPr="004C4F6D" w:rsidRDefault="00312FC6" w:rsidP="004C4F6D">
      <w:pPr>
        <w:spacing w:after="0" w:line="240" w:lineRule="auto"/>
        <w:ind w:left="775" w:right="133"/>
        <w:jc w:val="both"/>
        <w:rPr>
          <w:rFonts w:ascii="Arial" w:eastAsia="Arial Narrow" w:hAnsi="Arial" w:cs="Arial"/>
          <w:color w:val="000000"/>
          <w:lang w:eastAsia="en-PH"/>
        </w:rPr>
      </w:pPr>
    </w:p>
    <w:p w14:paraId="06279542" w14:textId="71185403" w:rsidR="00312FC6" w:rsidRPr="004C4F6D" w:rsidRDefault="001E6052" w:rsidP="004C4F6D">
      <w:pPr>
        <w:pStyle w:val="ListParagraph"/>
        <w:numPr>
          <w:ilvl w:val="0"/>
          <w:numId w:val="24"/>
        </w:numPr>
        <w:spacing w:after="0" w:line="240" w:lineRule="auto"/>
        <w:ind w:left="1134" w:hanging="425"/>
        <w:jc w:val="both"/>
        <w:rPr>
          <w:rFonts w:ascii="Arial" w:eastAsia="Arial Narrow" w:hAnsi="Arial" w:cs="Arial"/>
          <w:lang w:eastAsia="en-PH"/>
        </w:rPr>
      </w:pPr>
      <w:r w:rsidRPr="004C4F6D">
        <w:rPr>
          <w:rFonts w:ascii="Arial" w:eastAsia="Arial Narrow" w:hAnsi="Arial" w:cs="Arial"/>
          <w:color w:val="000000"/>
          <w:lang w:eastAsia="en-PH"/>
        </w:rPr>
        <w:t>Four (4) properties are subleased/sold by the previous owners. Two of the three lessees pay monthly rentals to the former owners. Management provided the following information:</w:t>
      </w:r>
    </w:p>
    <w:p w14:paraId="3795B382" w14:textId="77777777" w:rsidR="00312FC6" w:rsidRPr="004C4F6D" w:rsidRDefault="00312FC6" w:rsidP="004C4F6D">
      <w:pPr>
        <w:pStyle w:val="ListParagraph"/>
        <w:spacing w:after="0" w:line="240" w:lineRule="auto"/>
        <w:ind w:left="1134"/>
        <w:jc w:val="both"/>
        <w:rPr>
          <w:rFonts w:ascii="Arial" w:eastAsia="Arial Narrow" w:hAnsi="Arial" w:cs="Arial"/>
          <w:lang w:eastAsia="en-PH"/>
        </w:rPr>
      </w:pPr>
    </w:p>
    <w:p w14:paraId="0514545A" w14:textId="107948B1" w:rsidR="00312FC6" w:rsidRPr="004C4F6D" w:rsidRDefault="003919DE" w:rsidP="004C4F6D">
      <w:pPr>
        <w:spacing w:after="0" w:line="240" w:lineRule="auto"/>
        <w:ind w:left="1134" w:right="133"/>
        <w:jc w:val="both"/>
        <w:rPr>
          <w:rFonts w:ascii="Arial" w:eastAsia="Arial Narrow" w:hAnsi="Arial" w:cs="Arial"/>
          <w:u w:val="single"/>
          <w:lang w:eastAsia="en-PH"/>
        </w:rPr>
      </w:pPr>
      <w:r w:rsidRPr="004C4F6D">
        <w:rPr>
          <w:rFonts w:ascii="Arial" w:eastAsia="Arial Narrow" w:hAnsi="Arial" w:cs="Arial"/>
          <w:u w:val="single"/>
          <w:lang w:eastAsia="en-PH"/>
        </w:rPr>
        <w:t>Property 1</w:t>
      </w:r>
    </w:p>
    <w:p w14:paraId="77F4B72A" w14:textId="77777777" w:rsidR="00312FC6" w:rsidRPr="004C4F6D" w:rsidRDefault="003919DE" w:rsidP="004C4F6D">
      <w:pPr>
        <w:spacing w:after="0" w:line="240" w:lineRule="auto"/>
        <w:ind w:left="1134"/>
        <w:jc w:val="both"/>
        <w:rPr>
          <w:rFonts w:ascii="Arial" w:eastAsia="Arial Narrow" w:hAnsi="Arial" w:cs="Arial"/>
          <w:lang w:eastAsia="en-PH"/>
        </w:rPr>
      </w:pPr>
      <w:r w:rsidRPr="004C4F6D">
        <w:rPr>
          <w:rFonts w:ascii="Arial" w:eastAsia="Arial Narrow" w:hAnsi="Arial" w:cs="Arial"/>
          <w:lang w:eastAsia="en-PH"/>
        </w:rPr>
        <w:t>Requested filing of WOP with LD on February 7, 2023.  In response, the previous owner has signified intent to purchase the Property.  In the event that the property will be offered for disposal and the occupant/previous owner will be the buyer, the collection of the just compensation for the continuous occupancy of the property will be included in the terms and conditions of the sale transaction.</w:t>
      </w:r>
    </w:p>
    <w:p w14:paraId="0223C87D" w14:textId="77777777" w:rsidR="00312FC6" w:rsidRPr="004C4F6D" w:rsidRDefault="00312FC6" w:rsidP="004C4F6D">
      <w:pPr>
        <w:spacing w:after="0" w:line="240" w:lineRule="auto"/>
        <w:ind w:left="1134"/>
        <w:jc w:val="both"/>
        <w:rPr>
          <w:rFonts w:ascii="Arial" w:eastAsia="Arial Narrow" w:hAnsi="Arial" w:cs="Arial"/>
          <w:lang w:eastAsia="en-PH"/>
        </w:rPr>
      </w:pPr>
    </w:p>
    <w:p w14:paraId="31CF0B33" w14:textId="2950043B" w:rsidR="00312FC6" w:rsidRPr="004C4F6D" w:rsidRDefault="003919DE" w:rsidP="004C4F6D">
      <w:pPr>
        <w:spacing w:after="0" w:line="240" w:lineRule="auto"/>
        <w:ind w:left="1134" w:right="133"/>
        <w:jc w:val="both"/>
        <w:rPr>
          <w:rFonts w:ascii="Arial" w:eastAsia="Arial Narrow" w:hAnsi="Arial" w:cs="Arial"/>
          <w:color w:val="000000"/>
          <w:u w:val="single"/>
          <w:lang w:eastAsia="en-PH"/>
        </w:rPr>
      </w:pPr>
      <w:r w:rsidRPr="004C4F6D">
        <w:rPr>
          <w:rFonts w:ascii="Arial" w:eastAsia="Arial Narrow" w:hAnsi="Arial" w:cs="Arial"/>
          <w:color w:val="000000"/>
          <w:u w:val="single"/>
          <w:lang w:eastAsia="en-PH"/>
        </w:rPr>
        <w:t>Property 2</w:t>
      </w:r>
    </w:p>
    <w:p w14:paraId="6EED6850" w14:textId="63569578" w:rsidR="00312FC6" w:rsidRPr="004C4F6D" w:rsidRDefault="003919DE" w:rsidP="004C4F6D">
      <w:pPr>
        <w:spacing w:after="0" w:line="240" w:lineRule="auto"/>
        <w:ind w:left="1134"/>
        <w:jc w:val="both"/>
        <w:rPr>
          <w:rFonts w:ascii="Arial" w:eastAsia="Arial Narrow" w:hAnsi="Arial" w:cs="Arial"/>
          <w:lang w:eastAsia="en-PH"/>
        </w:rPr>
      </w:pPr>
      <w:r w:rsidRPr="004C4F6D">
        <w:rPr>
          <w:rFonts w:ascii="Arial" w:eastAsia="Arial Narrow" w:hAnsi="Arial" w:cs="Arial"/>
          <w:lang w:eastAsia="en-PH"/>
        </w:rPr>
        <w:t>On August 15, 2022</w:t>
      </w:r>
      <w:r w:rsidR="00FF0EFB" w:rsidRPr="004C4F6D">
        <w:rPr>
          <w:rFonts w:ascii="Arial" w:eastAsia="Arial Narrow" w:hAnsi="Arial" w:cs="Arial"/>
          <w:lang w:eastAsia="en-PH"/>
        </w:rPr>
        <w:t>,</w:t>
      </w:r>
      <w:r w:rsidRPr="004C4F6D">
        <w:rPr>
          <w:rFonts w:ascii="Arial" w:eastAsia="Arial Narrow" w:hAnsi="Arial" w:cs="Arial"/>
          <w:lang w:eastAsia="en-PH"/>
        </w:rPr>
        <w:t xml:space="preserve"> </w:t>
      </w:r>
      <w:r w:rsidR="00FF0EFB" w:rsidRPr="004C4F6D">
        <w:rPr>
          <w:rFonts w:ascii="Arial" w:eastAsia="Arial Narrow" w:hAnsi="Arial" w:cs="Arial"/>
          <w:lang w:eastAsia="en-PH"/>
        </w:rPr>
        <w:t xml:space="preserve">a </w:t>
      </w:r>
      <w:r w:rsidRPr="004C4F6D">
        <w:rPr>
          <w:rFonts w:ascii="Arial" w:eastAsia="Arial Narrow" w:hAnsi="Arial" w:cs="Arial"/>
          <w:lang w:eastAsia="en-PH"/>
        </w:rPr>
        <w:t>Final Notice to Vacate dated 08 August was sent by LD, with request of WOP dated October 7, 2022, for preparation of Judicial Affidavit.</w:t>
      </w:r>
    </w:p>
    <w:p w14:paraId="24C7AC2A" w14:textId="77777777" w:rsidR="00312FC6" w:rsidRPr="004C4F6D" w:rsidRDefault="00312FC6" w:rsidP="004C4F6D">
      <w:pPr>
        <w:spacing w:after="0" w:line="240" w:lineRule="auto"/>
        <w:ind w:left="1134"/>
        <w:jc w:val="both"/>
        <w:rPr>
          <w:rFonts w:ascii="Arial" w:eastAsia="Arial Narrow" w:hAnsi="Arial" w:cs="Arial"/>
          <w:lang w:eastAsia="en-PH"/>
        </w:rPr>
      </w:pPr>
    </w:p>
    <w:p w14:paraId="1B249EB4" w14:textId="01CD4434" w:rsidR="00312FC6" w:rsidRPr="004C4F6D" w:rsidRDefault="003919DE" w:rsidP="004C4F6D">
      <w:pPr>
        <w:spacing w:after="0" w:line="240" w:lineRule="auto"/>
        <w:ind w:left="1134" w:right="133"/>
        <w:jc w:val="both"/>
        <w:rPr>
          <w:rFonts w:ascii="Arial" w:eastAsia="Arial Narrow" w:hAnsi="Arial" w:cs="Arial"/>
          <w:color w:val="000000"/>
          <w:u w:val="single"/>
          <w:lang w:eastAsia="en-PH"/>
        </w:rPr>
      </w:pPr>
      <w:r w:rsidRPr="004C4F6D">
        <w:rPr>
          <w:rFonts w:ascii="Arial" w:eastAsia="Arial Narrow" w:hAnsi="Arial" w:cs="Arial"/>
          <w:color w:val="000000"/>
          <w:u w:val="single"/>
          <w:lang w:eastAsia="en-PH"/>
        </w:rPr>
        <w:t>Property 3</w:t>
      </w:r>
    </w:p>
    <w:p w14:paraId="66E911E4" w14:textId="1D51781E" w:rsidR="00312FC6" w:rsidRPr="004C4F6D" w:rsidRDefault="003919DE" w:rsidP="004C4F6D">
      <w:pPr>
        <w:spacing w:after="0" w:line="240" w:lineRule="auto"/>
        <w:ind w:left="1134"/>
        <w:jc w:val="both"/>
        <w:rPr>
          <w:rFonts w:ascii="Arial" w:eastAsia="Arial Narrow" w:hAnsi="Arial" w:cs="Arial"/>
          <w:color w:val="000000"/>
          <w:lang w:eastAsia="en-PH"/>
        </w:rPr>
      </w:pPr>
      <w:r w:rsidRPr="004C4F6D">
        <w:rPr>
          <w:rFonts w:ascii="Arial" w:eastAsia="Arial Narrow" w:hAnsi="Arial" w:cs="Arial"/>
          <w:color w:val="000000"/>
          <w:lang w:eastAsia="en-PH"/>
        </w:rPr>
        <w:t>On January 31, 2023, SPAD has requested the LD for the filing of the WOP or appropriate legal case against the occupants.  LD has referred the request to the OGCC.  Ex-Parte Petition for WOP is currently being drafted by the OGCC.</w:t>
      </w:r>
    </w:p>
    <w:p w14:paraId="16604201" w14:textId="77777777" w:rsidR="00312FC6" w:rsidRPr="004C4F6D" w:rsidRDefault="00312FC6" w:rsidP="004C4F6D">
      <w:pPr>
        <w:spacing w:after="0" w:line="240" w:lineRule="auto"/>
        <w:ind w:left="1134"/>
        <w:jc w:val="both"/>
        <w:rPr>
          <w:rFonts w:ascii="Arial" w:eastAsia="Arial Narrow" w:hAnsi="Arial" w:cs="Arial"/>
          <w:color w:val="000000"/>
          <w:lang w:eastAsia="en-PH"/>
        </w:rPr>
      </w:pPr>
    </w:p>
    <w:p w14:paraId="49A3CD0B" w14:textId="46F875AB" w:rsidR="00D621C4" w:rsidRPr="004C4F6D" w:rsidRDefault="00D621C4" w:rsidP="004C4F6D">
      <w:pPr>
        <w:spacing w:after="0" w:line="240" w:lineRule="auto"/>
        <w:ind w:left="1134" w:right="133"/>
        <w:jc w:val="both"/>
        <w:rPr>
          <w:rFonts w:ascii="Arial" w:eastAsia="Arial Narrow" w:hAnsi="Arial" w:cs="Arial"/>
          <w:color w:val="000000"/>
          <w:u w:val="single"/>
          <w:lang w:eastAsia="en-PH"/>
        </w:rPr>
      </w:pPr>
      <w:r w:rsidRPr="004C4F6D">
        <w:rPr>
          <w:rFonts w:ascii="Arial" w:eastAsia="Arial Narrow" w:hAnsi="Arial" w:cs="Arial"/>
          <w:color w:val="000000"/>
          <w:u w:val="single"/>
          <w:lang w:eastAsia="en-PH"/>
        </w:rPr>
        <w:t>Property 4</w:t>
      </w:r>
    </w:p>
    <w:p w14:paraId="05D0E29B" w14:textId="5979E20D" w:rsidR="00312FC6" w:rsidRPr="004C4F6D" w:rsidRDefault="003919DE" w:rsidP="004C4F6D">
      <w:pPr>
        <w:spacing w:after="0" w:line="240" w:lineRule="auto"/>
        <w:ind w:left="1134"/>
        <w:jc w:val="both"/>
        <w:rPr>
          <w:rFonts w:ascii="Arial" w:eastAsia="Arial Narrow" w:hAnsi="Arial" w:cs="Arial"/>
          <w:lang w:eastAsia="en-PH"/>
        </w:rPr>
      </w:pPr>
      <w:r w:rsidRPr="004C4F6D">
        <w:rPr>
          <w:rFonts w:ascii="Arial" w:eastAsia="Arial Narrow" w:hAnsi="Arial" w:cs="Arial"/>
          <w:lang w:eastAsia="en-PH"/>
        </w:rPr>
        <w:t>One (1) property was sold by former owner to the occupant and the latter refused to vacate the property. This matter was already referred to L</w:t>
      </w:r>
      <w:r w:rsidR="000D06DC" w:rsidRPr="004C4F6D">
        <w:rPr>
          <w:rFonts w:ascii="Arial" w:eastAsia="Arial Narrow" w:hAnsi="Arial" w:cs="Arial"/>
          <w:lang w:eastAsia="en-PH"/>
        </w:rPr>
        <w:t xml:space="preserve">itigation </w:t>
      </w:r>
      <w:r w:rsidRPr="004C4F6D">
        <w:rPr>
          <w:rFonts w:ascii="Arial" w:eastAsia="Arial Narrow" w:hAnsi="Arial" w:cs="Arial"/>
          <w:lang w:eastAsia="en-PH"/>
        </w:rPr>
        <w:t>D</w:t>
      </w:r>
      <w:r w:rsidR="000D06DC" w:rsidRPr="004C4F6D">
        <w:rPr>
          <w:rFonts w:ascii="Arial" w:eastAsia="Arial Narrow" w:hAnsi="Arial" w:cs="Arial"/>
          <w:lang w:eastAsia="en-PH"/>
        </w:rPr>
        <w:t>epartment</w:t>
      </w:r>
      <w:r w:rsidRPr="004C4F6D">
        <w:rPr>
          <w:rFonts w:ascii="Arial" w:eastAsia="Arial Narrow" w:hAnsi="Arial" w:cs="Arial"/>
          <w:lang w:eastAsia="en-PH"/>
        </w:rPr>
        <w:t xml:space="preserve">.  SPAD </w:t>
      </w:r>
      <w:r w:rsidR="000D06DC" w:rsidRPr="004C4F6D">
        <w:rPr>
          <w:rFonts w:ascii="Arial" w:eastAsia="Arial Narrow" w:hAnsi="Arial" w:cs="Arial"/>
          <w:lang w:eastAsia="en-PH"/>
        </w:rPr>
        <w:t>is</w:t>
      </w:r>
      <w:r w:rsidRPr="004C4F6D">
        <w:rPr>
          <w:rFonts w:ascii="Arial" w:eastAsia="Arial Narrow" w:hAnsi="Arial" w:cs="Arial"/>
          <w:lang w:eastAsia="en-PH"/>
        </w:rPr>
        <w:t xml:space="preserve"> closely coordinat</w:t>
      </w:r>
      <w:r w:rsidR="000D06DC" w:rsidRPr="004C4F6D">
        <w:rPr>
          <w:rFonts w:ascii="Arial" w:eastAsia="Arial Narrow" w:hAnsi="Arial" w:cs="Arial"/>
          <w:lang w:eastAsia="en-PH"/>
        </w:rPr>
        <w:t>ing</w:t>
      </w:r>
      <w:r w:rsidRPr="004C4F6D">
        <w:rPr>
          <w:rFonts w:ascii="Arial" w:eastAsia="Arial Narrow" w:hAnsi="Arial" w:cs="Arial"/>
          <w:lang w:eastAsia="en-PH"/>
        </w:rPr>
        <w:t xml:space="preserve"> with the L</w:t>
      </w:r>
      <w:r w:rsidR="000D06DC" w:rsidRPr="004C4F6D">
        <w:rPr>
          <w:rFonts w:ascii="Arial" w:eastAsia="Arial Narrow" w:hAnsi="Arial" w:cs="Arial"/>
          <w:lang w:eastAsia="en-PH"/>
        </w:rPr>
        <w:t xml:space="preserve">itigation </w:t>
      </w:r>
      <w:r w:rsidRPr="004C4F6D">
        <w:rPr>
          <w:rFonts w:ascii="Arial" w:eastAsia="Arial Narrow" w:hAnsi="Arial" w:cs="Arial"/>
          <w:lang w:eastAsia="en-PH"/>
        </w:rPr>
        <w:t>D</w:t>
      </w:r>
      <w:r w:rsidR="000D06DC" w:rsidRPr="004C4F6D">
        <w:rPr>
          <w:rFonts w:ascii="Arial" w:eastAsia="Arial Narrow" w:hAnsi="Arial" w:cs="Arial"/>
          <w:lang w:eastAsia="en-PH"/>
        </w:rPr>
        <w:t>epartment</w:t>
      </w:r>
      <w:r w:rsidRPr="004C4F6D">
        <w:rPr>
          <w:rFonts w:ascii="Arial" w:eastAsia="Arial Narrow" w:hAnsi="Arial" w:cs="Arial"/>
          <w:lang w:eastAsia="en-PH"/>
        </w:rPr>
        <w:t xml:space="preserve"> for the status of th</w:t>
      </w:r>
      <w:r w:rsidR="000D06DC" w:rsidRPr="004C4F6D">
        <w:rPr>
          <w:rFonts w:ascii="Arial" w:eastAsia="Arial Narrow" w:hAnsi="Arial" w:cs="Arial"/>
          <w:lang w:eastAsia="en-PH"/>
        </w:rPr>
        <w:t>e</w:t>
      </w:r>
      <w:r w:rsidRPr="004C4F6D">
        <w:rPr>
          <w:rFonts w:ascii="Arial" w:eastAsia="Arial Narrow" w:hAnsi="Arial" w:cs="Arial"/>
          <w:lang w:eastAsia="en-PH"/>
        </w:rPr>
        <w:t xml:space="preserve"> case. </w:t>
      </w:r>
    </w:p>
    <w:p w14:paraId="3991F74D" w14:textId="77777777" w:rsidR="00312FC6" w:rsidRPr="004C4F6D" w:rsidRDefault="00312FC6" w:rsidP="004C4F6D">
      <w:pPr>
        <w:spacing w:after="0" w:line="240" w:lineRule="auto"/>
        <w:ind w:left="1134"/>
        <w:jc w:val="both"/>
        <w:rPr>
          <w:rFonts w:ascii="Arial" w:eastAsia="Arial Narrow" w:hAnsi="Arial" w:cs="Arial"/>
          <w:lang w:eastAsia="en-PH"/>
        </w:rPr>
      </w:pPr>
    </w:p>
    <w:p w14:paraId="2FC91825" w14:textId="57B8FFAD" w:rsidR="00312FC6" w:rsidRPr="004C4F6D" w:rsidRDefault="003919DE" w:rsidP="004C4F6D">
      <w:pPr>
        <w:pStyle w:val="ListParagraph"/>
        <w:numPr>
          <w:ilvl w:val="0"/>
          <w:numId w:val="24"/>
        </w:numPr>
        <w:spacing w:after="0" w:line="240" w:lineRule="auto"/>
        <w:ind w:left="1134" w:hanging="425"/>
        <w:jc w:val="both"/>
        <w:rPr>
          <w:rFonts w:ascii="Arial" w:eastAsia="Arial Narrow" w:hAnsi="Arial" w:cs="Arial"/>
          <w:lang w:eastAsia="en-PH"/>
        </w:rPr>
      </w:pPr>
      <w:r w:rsidRPr="004C4F6D">
        <w:rPr>
          <w:rFonts w:ascii="Arial" w:eastAsia="Arial Narrow" w:hAnsi="Arial" w:cs="Arial"/>
          <w:color w:val="000000"/>
          <w:lang w:eastAsia="en-PH"/>
        </w:rPr>
        <w:t>Thirty-four (34) properties have no signage stating the propert</w:t>
      </w:r>
      <w:r w:rsidR="00595F62" w:rsidRPr="004C4F6D">
        <w:rPr>
          <w:rFonts w:ascii="Arial" w:eastAsia="Arial Narrow" w:hAnsi="Arial" w:cs="Arial"/>
          <w:color w:val="000000"/>
          <w:lang w:eastAsia="en-PH"/>
        </w:rPr>
        <w:t>ies are</w:t>
      </w:r>
      <w:r w:rsidRPr="004C4F6D">
        <w:rPr>
          <w:rFonts w:ascii="Arial" w:eastAsia="Arial Narrow" w:hAnsi="Arial" w:cs="Arial"/>
          <w:color w:val="000000"/>
          <w:lang w:eastAsia="en-PH"/>
        </w:rPr>
        <w:t xml:space="preserve"> owned by the bank and is available for sale or for lease. </w:t>
      </w:r>
    </w:p>
    <w:p w14:paraId="50B00EBE" w14:textId="77777777" w:rsidR="00312FC6" w:rsidRPr="004C4F6D" w:rsidRDefault="00312FC6" w:rsidP="004C4F6D">
      <w:pPr>
        <w:spacing w:after="0" w:line="240" w:lineRule="auto"/>
        <w:ind w:left="775" w:right="133" w:hanging="11"/>
        <w:jc w:val="both"/>
        <w:rPr>
          <w:rFonts w:ascii="Arial" w:eastAsia="Arial Narrow" w:hAnsi="Arial" w:cs="Arial"/>
          <w:color w:val="000000"/>
          <w:lang w:eastAsia="en-PH"/>
        </w:rPr>
      </w:pPr>
    </w:p>
    <w:p w14:paraId="0D327DEC" w14:textId="1D812DC9" w:rsidR="00312FC6" w:rsidRPr="004C4F6D" w:rsidRDefault="003919DE" w:rsidP="004C4F6D">
      <w:pPr>
        <w:spacing w:after="0" w:line="240" w:lineRule="auto"/>
        <w:ind w:left="1134"/>
        <w:jc w:val="both"/>
        <w:rPr>
          <w:rFonts w:ascii="Arial" w:eastAsia="Arial Narrow" w:hAnsi="Arial" w:cs="Arial"/>
          <w:color w:val="000000"/>
          <w:lang w:eastAsia="en-PH"/>
        </w:rPr>
      </w:pPr>
      <w:r w:rsidRPr="004C4F6D">
        <w:rPr>
          <w:rFonts w:ascii="Arial" w:eastAsia="Arial Narrow" w:hAnsi="Arial" w:cs="Arial"/>
          <w:color w:val="000000"/>
          <w:lang w:eastAsia="en-PH"/>
        </w:rPr>
        <w:t>Management explained that</w:t>
      </w:r>
      <w:r w:rsidR="00595F62" w:rsidRPr="004C4F6D">
        <w:rPr>
          <w:rFonts w:ascii="Arial" w:eastAsia="Arial Narrow" w:hAnsi="Arial" w:cs="Arial"/>
          <w:color w:val="000000"/>
          <w:lang w:eastAsia="en-PH"/>
        </w:rPr>
        <w:t xml:space="preserve"> </w:t>
      </w:r>
      <w:r w:rsidRPr="004C4F6D">
        <w:rPr>
          <w:rFonts w:ascii="Arial" w:eastAsia="Arial Narrow" w:hAnsi="Arial" w:cs="Arial"/>
          <w:color w:val="000000"/>
          <w:lang w:eastAsia="en-PH"/>
        </w:rPr>
        <w:t xml:space="preserve">17 properties have been posted with signage based on Inspection Reports and pictures taken during the visit of the handling AAO but were removed by the occupants. </w:t>
      </w:r>
      <w:r w:rsidR="00595F62" w:rsidRPr="004C4F6D">
        <w:rPr>
          <w:rFonts w:ascii="Arial" w:eastAsia="Arial Narrow" w:hAnsi="Arial" w:cs="Arial"/>
          <w:color w:val="000000"/>
          <w:lang w:eastAsia="en-PH"/>
        </w:rPr>
        <w:t xml:space="preserve">The </w:t>
      </w:r>
      <w:r w:rsidRPr="004C4F6D">
        <w:rPr>
          <w:rFonts w:ascii="Arial" w:eastAsia="Arial Narrow" w:hAnsi="Arial" w:cs="Arial"/>
          <w:color w:val="000000"/>
          <w:lang w:eastAsia="en-PH"/>
        </w:rPr>
        <w:t xml:space="preserve">13 properties are </w:t>
      </w:r>
      <w:r w:rsidR="00595F62" w:rsidRPr="004C4F6D">
        <w:rPr>
          <w:rFonts w:ascii="Arial" w:eastAsia="Arial Narrow" w:hAnsi="Arial" w:cs="Arial"/>
          <w:color w:val="000000"/>
          <w:lang w:eastAsia="en-PH"/>
        </w:rPr>
        <w:lastRenderedPageBreak/>
        <w:t>c</w:t>
      </w:r>
      <w:r w:rsidRPr="004C4F6D">
        <w:rPr>
          <w:rFonts w:ascii="Arial" w:eastAsia="Arial Narrow" w:hAnsi="Arial" w:cs="Arial"/>
          <w:color w:val="000000"/>
          <w:lang w:eastAsia="en-PH"/>
        </w:rPr>
        <w:t xml:space="preserve">ondominiums </w:t>
      </w:r>
      <w:r w:rsidR="00595F62" w:rsidRPr="004C4F6D">
        <w:rPr>
          <w:rFonts w:ascii="Arial" w:eastAsia="Arial Narrow" w:hAnsi="Arial" w:cs="Arial"/>
          <w:color w:val="000000"/>
          <w:lang w:eastAsia="en-PH"/>
        </w:rPr>
        <w:t>of</w:t>
      </w:r>
      <w:r w:rsidRPr="004C4F6D">
        <w:rPr>
          <w:rFonts w:ascii="Arial" w:eastAsia="Arial Narrow" w:hAnsi="Arial" w:cs="Arial"/>
          <w:color w:val="000000"/>
          <w:lang w:eastAsia="en-PH"/>
        </w:rPr>
        <w:t xml:space="preserve"> which posting of signage are not allowed.  SPAD informed that they shall again coordinate with Building Administrators to allow posting of markers or signage, as applicable.  Management </w:t>
      </w:r>
      <w:r w:rsidR="00595F62" w:rsidRPr="004C4F6D">
        <w:rPr>
          <w:rFonts w:ascii="Arial" w:eastAsia="Arial Narrow" w:hAnsi="Arial" w:cs="Arial"/>
          <w:color w:val="000000"/>
          <w:lang w:eastAsia="en-PH"/>
        </w:rPr>
        <w:t xml:space="preserve">further </w:t>
      </w:r>
      <w:r w:rsidRPr="004C4F6D">
        <w:rPr>
          <w:rFonts w:ascii="Arial" w:eastAsia="Arial Narrow" w:hAnsi="Arial" w:cs="Arial"/>
          <w:color w:val="000000"/>
          <w:lang w:eastAsia="en-PH"/>
        </w:rPr>
        <w:t>explained that one (1) property has an issue with the Bureau of Liquidators (BOL)/Property Management Office (PMO) on encroachment of its building on the Bank</w:t>
      </w:r>
      <w:r w:rsidRPr="004C4F6D">
        <w:rPr>
          <w:rFonts w:ascii="Arial" w:eastAsia="Arial Narrow" w:hAnsi="Arial" w:cs="Arial"/>
          <w:color w:val="FF0000"/>
          <w:lang w:eastAsia="en-PH"/>
        </w:rPr>
        <w:t xml:space="preserve"> </w:t>
      </w:r>
      <w:r w:rsidRPr="004C4F6D">
        <w:rPr>
          <w:rFonts w:ascii="Arial" w:eastAsia="Arial Narrow" w:hAnsi="Arial" w:cs="Arial"/>
          <w:color w:val="000000"/>
          <w:lang w:eastAsia="en-PH"/>
        </w:rPr>
        <w:t xml:space="preserve">property. Four (4) properties are unfinished condominium buildings. </w:t>
      </w:r>
    </w:p>
    <w:p w14:paraId="6515739D" w14:textId="77777777" w:rsidR="00312FC6" w:rsidRPr="004C4F6D" w:rsidRDefault="00312FC6" w:rsidP="004C4F6D">
      <w:pPr>
        <w:spacing w:after="0" w:line="240" w:lineRule="auto"/>
        <w:ind w:left="775" w:right="133" w:hanging="11"/>
        <w:jc w:val="both"/>
        <w:rPr>
          <w:rFonts w:ascii="Arial" w:eastAsia="Arial Narrow" w:hAnsi="Arial" w:cs="Arial"/>
          <w:color w:val="000000"/>
          <w:lang w:eastAsia="en-PH"/>
        </w:rPr>
      </w:pPr>
    </w:p>
    <w:p w14:paraId="030146AC" w14:textId="2819A4D8" w:rsidR="00312FC6" w:rsidRPr="004C4F6D" w:rsidRDefault="003919DE" w:rsidP="004C4F6D">
      <w:pPr>
        <w:pStyle w:val="ListParagraph"/>
        <w:numPr>
          <w:ilvl w:val="0"/>
          <w:numId w:val="24"/>
        </w:numPr>
        <w:spacing w:after="0" w:line="240" w:lineRule="auto"/>
        <w:ind w:left="1134" w:hanging="425"/>
        <w:jc w:val="both"/>
        <w:rPr>
          <w:rFonts w:ascii="Arial" w:eastAsia="Arial Narrow" w:hAnsi="Arial" w:cs="Arial"/>
          <w:lang w:eastAsia="en-PH"/>
        </w:rPr>
      </w:pPr>
      <w:r w:rsidRPr="004C4F6D">
        <w:rPr>
          <w:rFonts w:ascii="Arial" w:eastAsia="Arial Narrow" w:hAnsi="Arial" w:cs="Arial"/>
          <w:color w:val="000000"/>
          <w:lang w:eastAsia="en-PH"/>
        </w:rPr>
        <w:t xml:space="preserve">Fourteen </w:t>
      </w:r>
      <w:r w:rsidR="0000127F">
        <w:rPr>
          <w:rFonts w:ascii="Arial" w:eastAsia="Arial Narrow" w:hAnsi="Arial" w:cs="Arial"/>
          <w:color w:val="000000"/>
          <w:lang w:eastAsia="en-PH"/>
        </w:rPr>
        <w:t xml:space="preserve">(14) </w:t>
      </w:r>
      <w:r w:rsidRPr="004C4F6D">
        <w:rPr>
          <w:rFonts w:ascii="Arial" w:eastAsia="Arial Narrow" w:hAnsi="Arial" w:cs="Arial"/>
          <w:color w:val="000000"/>
          <w:lang w:eastAsia="en-PH"/>
        </w:rPr>
        <w:t>properties were abandoned, damaged, idle</w:t>
      </w:r>
      <w:r w:rsidR="001C5121" w:rsidRPr="004C4F6D">
        <w:rPr>
          <w:rFonts w:ascii="Arial" w:eastAsia="Arial Narrow" w:hAnsi="Arial" w:cs="Arial"/>
          <w:color w:val="000000"/>
          <w:lang w:eastAsia="en-PH"/>
        </w:rPr>
        <w:t>,</w:t>
      </w:r>
      <w:r w:rsidRPr="004C4F6D">
        <w:rPr>
          <w:rFonts w:ascii="Arial" w:eastAsia="Arial Narrow" w:hAnsi="Arial" w:cs="Arial"/>
          <w:color w:val="000000"/>
          <w:lang w:eastAsia="en-PH"/>
        </w:rPr>
        <w:t xml:space="preserve"> not protected and preserved resulting to rapid deterioration.  </w:t>
      </w:r>
    </w:p>
    <w:p w14:paraId="6300F8E4" w14:textId="77777777" w:rsidR="00312FC6" w:rsidRPr="004C4F6D" w:rsidRDefault="00312FC6" w:rsidP="004C4F6D">
      <w:pPr>
        <w:spacing w:after="0" w:line="240" w:lineRule="auto"/>
        <w:ind w:left="775" w:right="133" w:hanging="11"/>
        <w:jc w:val="both"/>
        <w:rPr>
          <w:rFonts w:ascii="Arial" w:eastAsia="Arial Narrow" w:hAnsi="Arial" w:cs="Arial"/>
          <w:lang w:eastAsia="en-PH"/>
        </w:rPr>
      </w:pPr>
    </w:p>
    <w:p w14:paraId="37593CD1" w14:textId="69DC8390" w:rsidR="00312FC6" w:rsidRPr="004C4F6D" w:rsidRDefault="003919DE" w:rsidP="004C4F6D">
      <w:pPr>
        <w:spacing w:after="0" w:line="240" w:lineRule="auto"/>
        <w:ind w:left="1134"/>
        <w:jc w:val="both"/>
        <w:rPr>
          <w:rFonts w:ascii="Arial" w:eastAsia="Arial Narrow" w:hAnsi="Arial" w:cs="Arial"/>
          <w:lang w:eastAsia="en-PH"/>
        </w:rPr>
      </w:pPr>
      <w:r w:rsidRPr="004C4F6D">
        <w:rPr>
          <w:rFonts w:ascii="Arial" w:eastAsia="Arial Narrow" w:hAnsi="Arial" w:cs="Arial"/>
          <w:color w:val="000000"/>
          <w:lang w:eastAsia="en-PH"/>
        </w:rPr>
        <w:t xml:space="preserve">Management informed that whenever there was imminent threat for damage of ROPAs and depending on </w:t>
      </w:r>
      <w:r w:rsidR="00595F62" w:rsidRPr="004C4F6D">
        <w:rPr>
          <w:rFonts w:ascii="Arial" w:eastAsia="Arial Narrow" w:hAnsi="Arial" w:cs="Arial"/>
          <w:color w:val="000000"/>
          <w:lang w:eastAsia="en-PH"/>
        </w:rPr>
        <w:t>its</w:t>
      </w:r>
      <w:r w:rsidRPr="004C4F6D">
        <w:rPr>
          <w:rFonts w:ascii="Arial" w:eastAsia="Arial Narrow" w:hAnsi="Arial" w:cs="Arial"/>
          <w:color w:val="000000"/>
          <w:lang w:eastAsia="en-PH"/>
        </w:rPr>
        <w:t xml:space="preserve"> </w:t>
      </w:r>
      <w:r w:rsidR="00595F62" w:rsidRPr="004C4F6D">
        <w:rPr>
          <w:rFonts w:ascii="Arial" w:eastAsia="Arial Narrow" w:hAnsi="Arial" w:cs="Arial"/>
          <w:color w:val="000000"/>
          <w:lang w:eastAsia="en-PH"/>
        </w:rPr>
        <w:t>b</w:t>
      </w:r>
      <w:r w:rsidRPr="004C4F6D">
        <w:rPr>
          <w:rFonts w:ascii="Arial" w:eastAsia="Arial Narrow" w:hAnsi="Arial" w:cs="Arial"/>
          <w:color w:val="000000"/>
          <w:lang w:eastAsia="en-PH"/>
        </w:rPr>
        <w:t xml:space="preserve">ook </w:t>
      </w:r>
      <w:r w:rsidR="00595F62" w:rsidRPr="004C4F6D">
        <w:rPr>
          <w:rFonts w:ascii="Arial" w:eastAsia="Arial Narrow" w:hAnsi="Arial" w:cs="Arial"/>
          <w:color w:val="000000"/>
          <w:lang w:eastAsia="en-PH"/>
        </w:rPr>
        <w:t>v</w:t>
      </w:r>
      <w:r w:rsidRPr="004C4F6D">
        <w:rPr>
          <w:rFonts w:ascii="Arial" w:eastAsia="Arial Narrow" w:hAnsi="Arial" w:cs="Arial"/>
          <w:color w:val="000000"/>
          <w:lang w:eastAsia="en-PH"/>
        </w:rPr>
        <w:t xml:space="preserve">alue, SPAD normally posts Security Guards or engaged the services of caretakers/LBRDC to secure and maintain the properties and preserve their values. However, due to the volume of the managed ROPAs, these are mostly sold on “as-is-where-is” basis to reduce expenses on maintenance since these are outright expenses and not capitalized as cost of the ROPA.  Further, maintenance expenses may undergo the regular procurement process which takes some time. Based on the MOA with LBRDC, a maintenance expense of P10,000 is allowed per ROPA under their caretakership. SPAD also coordinates with FMD for assistance in cleaning of the ROPAs. </w:t>
      </w:r>
    </w:p>
    <w:p w14:paraId="757EDD50" w14:textId="77777777" w:rsidR="00312FC6" w:rsidRPr="004C4F6D" w:rsidRDefault="00312FC6" w:rsidP="004C4F6D">
      <w:pPr>
        <w:spacing w:after="0" w:line="240" w:lineRule="auto"/>
        <w:ind w:left="775" w:right="133" w:hanging="11"/>
        <w:jc w:val="both"/>
        <w:rPr>
          <w:rFonts w:ascii="Arial" w:eastAsia="Arial Narrow" w:hAnsi="Arial" w:cs="Arial"/>
          <w:color w:val="000000"/>
          <w:lang w:eastAsia="en-PH"/>
        </w:rPr>
      </w:pPr>
    </w:p>
    <w:p w14:paraId="50D2394A" w14:textId="553F5BF6" w:rsidR="00460198" w:rsidRPr="004C4F6D" w:rsidRDefault="003919DE" w:rsidP="004C4F6D">
      <w:pPr>
        <w:pStyle w:val="ListParagraph"/>
        <w:numPr>
          <w:ilvl w:val="0"/>
          <w:numId w:val="24"/>
        </w:numPr>
        <w:spacing w:after="0" w:line="240" w:lineRule="auto"/>
        <w:ind w:left="1134" w:right="133" w:hanging="425"/>
        <w:jc w:val="both"/>
        <w:rPr>
          <w:rFonts w:ascii="Arial" w:eastAsia="Arial Narrow" w:hAnsi="Arial" w:cs="Arial"/>
          <w:lang w:eastAsia="en-PH"/>
        </w:rPr>
      </w:pPr>
      <w:r w:rsidRPr="004C4F6D">
        <w:rPr>
          <w:rFonts w:ascii="Arial" w:eastAsia="Arial Narrow" w:hAnsi="Arial" w:cs="Arial"/>
          <w:lang w:eastAsia="en-PH"/>
        </w:rPr>
        <w:t>Two</w:t>
      </w:r>
      <w:r w:rsidRPr="004C4F6D">
        <w:rPr>
          <w:rFonts w:ascii="Arial" w:eastAsia="Arial Narrow" w:hAnsi="Arial" w:cs="Arial"/>
          <w:color w:val="000000"/>
          <w:lang w:eastAsia="en-PH"/>
        </w:rPr>
        <w:t xml:space="preserve"> (2) properties with total book value of P2,077,410.77 and appraised value of P42,857,891.21 </w:t>
      </w:r>
      <w:r w:rsidR="0077188F" w:rsidRPr="004C4F6D">
        <w:rPr>
          <w:rFonts w:ascii="Arial" w:eastAsia="Arial Narrow" w:hAnsi="Arial" w:cs="Arial"/>
          <w:color w:val="000000"/>
          <w:lang w:eastAsia="en-PH"/>
        </w:rPr>
        <w:t xml:space="preserve">cannot be </w:t>
      </w:r>
      <w:r w:rsidRPr="004C4F6D">
        <w:rPr>
          <w:rFonts w:ascii="Arial" w:eastAsia="Arial Narrow" w:hAnsi="Arial" w:cs="Arial"/>
          <w:color w:val="000000"/>
          <w:lang w:eastAsia="en-PH"/>
        </w:rPr>
        <w:t>located. Management explained that the</w:t>
      </w:r>
      <w:r w:rsidR="0077188F" w:rsidRPr="004C4F6D">
        <w:rPr>
          <w:rFonts w:ascii="Arial" w:eastAsia="Arial Narrow" w:hAnsi="Arial" w:cs="Arial"/>
          <w:color w:val="000000"/>
          <w:lang w:eastAsia="en-PH"/>
        </w:rPr>
        <w:t>se</w:t>
      </w:r>
      <w:r w:rsidRPr="004C4F6D">
        <w:rPr>
          <w:rFonts w:ascii="Arial" w:eastAsia="Arial Narrow" w:hAnsi="Arial" w:cs="Arial"/>
          <w:color w:val="000000"/>
          <w:lang w:eastAsia="en-PH"/>
        </w:rPr>
        <w:t xml:space="preserve"> properties are </w:t>
      </w:r>
      <w:r w:rsidR="00FF47DB" w:rsidRPr="004C4F6D">
        <w:rPr>
          <w:rFonts w:ascii="Arial" w:eastAsia="Arial Narrow" w:hAnsi="Arial" w:cs="Arial"/>
          <w:color w:val="000000"/>
          <w:lang w:eastAsia="en-PH"/>
        </w:rPr>
        <w:t>Agricultural Credit Administration (</w:t>
      </w:r>
      <w:r w:rsidRPr="004C4F6D">
        <w:rPr>
          <w:rFonts w:ascii="Arial" w:eastAsia="Arial Narrow" w:hAnsi="Arial" w:cs="Arial"/>
          <w:color w:val="000000"/>
          <w:lang w:eastAsia="en-PH"/>
        </w:rPr>
        <w:t>ACA</w:t>
      </w:r>
      <w:r w:rsidR="00FF47DB" w:rsidRPr="004C4F6D">
        <w:rPr>
          <w:rFonts w:ascii="Arial" w:eastAsia="Arial Narrow" w:hAnsi="Arial" w:cs="Arial"/>
          <w:color w:val="000000"/>
          <w:lang w:eastAsia="en-PH"/>
        </w:rPr>
        <w:t>)</w:t>
      </w:r>
      <w:r w:rsidRPr="004C4F6D">
        <w:rPr>
          <w:rFonts w:ascii="Arial" w:eastAsia="Arial Narrow" w:hAnsi="Arial" w:cs="Arial"/>
          <w:color w:val="000000"/>
          <w:lang w:eastAsia="en-PH"/>
        </w:rPr>
        <w:t xml:space="preserve"> accounts that were transferred to LBP and lodged temporarily as Head Office accounts.  The</w:t>
      </w:r>
      <w:r w:rsidR="0077188F" w:rsidRPr="004C4F6D">
        <w:rPr>
          <w:rFonts w:ascii="Arial" w:eastAsia="Arial Narrow" w:hAnsi="Arial" w:cs="Arial"/>
          <w:color w:val="000000"/>
          <w:lang w:eastAsia="en-PH"/>
        </w:rPr>
        <w:t xml:space="preserve"> ACA accounts </w:t>
      </w:r>
      <w:r w:rsidRPr="004C4F6D">
        <w:rPr>
          <w:rFonts w:ascii="Arial" w:eastAsia="Arial Narrow" w:hAnsi="Arial" w:cs="Arial"/>
          <w:color w:val="000000"/>
          <w:lang w:eastAsia="en-PH"/>
        </w:rPr>
        <w:t>are composed of bundled properties located in various provinces outside of Metro Manila (Benguet, Ilocos Norte, Pangasinan, Lipa City, Tarlac, Camarines Sur and Maguindanao). The ACA accounts are still undergoing partition and encoding of complete details in the ROPA MS. SPAD has encoded 32 out of 63 (excluding disposed accounts</w:t>
      </w:r>
      <w:r w:rsidRPr="005C4CF8">
        <w:rPr>
          <w:rFonts w:ascii="Arial" w:eastAsia="Arial Narrow" w:hAnsi="Arial" w:cs="Arial"/>
          <w:color w:val="000000"/>
          <w:lang w:eastAsia="en-PH"/>
        </w:rPr>
        <w:t>) ACA</w:t>
      </w:r>
      <w:r w:rsidRPr="004C4F6D">
        <w:rPr>
          <w:rFonts w:ascii="Arial" w:eastAsia="Arial Narrow" w:hAnsi="Arial" w:cs="Arial"/>
          <w:color w:val="000000"/>
          <w:lang w:eastAsia="en-PH"/>
        </w:rPr>
        <w:t xml:space="preserve"> Accounts in NL, CL, SL1, SL2 and Visayas areas. </w:t>
      </w:r>
    </w:p>
    <w:p w14:paraId="7394C66F" w14:textId="77777777" w:rsidR="00312FC6" w:rsidRPr="004C4F6D" w:rsidRDefault="00312FC6" w:rsidP="004C4F6D">
      <w:pPr>
        <w:pStyle w:val="ListParagraph"/>
        <w:spacing w:after="0" w:line="240" w:lineRule="auto"/>
        <w:ind w:left="1134" w:right="133"/>
        <w:jc w:val="both"/>
        <w:rPr>
          <w:rFonts w:ascii="Arial" w:eastAsia="Arial Narrow" w:hAnsi="Arial" w:cs="Arial"/>
          <w:lang w:eastAsia="en-PH"/>
        </w:rPr>
      </w:pPr>
    </w:p>
    <w:p w14:paraId="2D8D7AB9" w14:textId="5F803061"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Based on the results of inspection, there were </w:t>
      </w:r>
      <w:r w:rsidR="003B2079" w:rsidRPr="004C4F6D">
        <w:rPr>
          <w:rFonts w:ascii="Arial" w:eastAsia="Arial Narrow" w:hAnsi="Arial" w:cs="Arial"/>
          <w:color w:val="000000"/>
          <w:lang w:eastAsia="en-PH"/>
        </w:rPr>
        <w:t>deficiencies</w:t>
      </w:r>
      <w:r w:rsidRPr="004C4F6D">
        <w:rPr>
          <w:rFonts w:ascii="Arial" w:eastAsia="Arial Narrow" w:hAnsi="Arial" w:cs="Arial"/>
          <w:color w:val="000000"/>
          <w:lang w:eastAsia="en-PH"/>
        </w:rPr>
        <w:t xml:space="preserve"> in the management of </w:t>
      </w:r>
      <w:r w:rsidR="003132AD" w:rsidRPr="004C4F6D">
        <w:rPr>
          <w:rFonts w:ascii="Arial" w:eastAsia="Arial Narrow" w:hAnsi="Arial" w:cs="Arial"/>
          <w:color w:val="000000"/>
          <w:lang w:eastAsia="en-PH"/>
        </w:rPr>
        <w:t>ROPA contrary</w:t>
      </w:r>
      <w:r w:rsidR="002805D4" w:rsidRPr="004C4F6D">
        <w:rPr>
          <w:rFonts w:ascii="Arial" w:eastAsia="Arial Narrow" w:hAnsi="Arial" w:cs="Arial"/>
          <w:color w:val="000000"/>
          <w:lang w:eastAsia="en-PH"/>
        </w:rPr>
        <w:t xml:space="preserve"> to </w:t>
      </w:r>
      <w:r w:rsidRPr="004C4F6D">
        <w:rPr>
          <w:rFonts w:ascii="Arial" w:eastAsia="Arial Narrow" w:hAnsi="Arial" w:cs="Arial"/>
          <w:color w:val="000000"/>
          <w:lang w:eastAsia="en-PH"/>
        </w:rPr>
        <w:t>the Bank’s policy on administration acquired properties with total book and appraised value of P96.323 million and P309.905 million, respectively, thus, exposing properties to risks of rapid deterioration, loss of opportunity income from the sale/lease of the property, and delay in the recovery of Bank’s loan exposure.</w:t>
      </w:r>
    </w:p>
    <w:p w14:paraId="27A9E25A" w14:textId="77777777" w:rsidR="00312FC6" w:rsidRPr="004C4F6D" w:rsidRDefault="00312FC6" w:rsidP="004C4F6D">
      <w:pPr>
        <w:pStyle w:val="ListParagraph"/>
        <w:spacing w:after="0" w:line="240" w:lineRule="auto"/>
        <w:ind w:left="0" w:right="133"/>
        <w:jc w:val="both"/>
        <w:rPr>
          <w:rFonts w:ascii="Arial" w:eastAsia="Arial Narrow" w:hAnsi="Arial" w:cs="Arial"/>
          <w:color w:val="000000"/>
          <w:lang w:eastAsia="en-PH"/>
        </w:rPr>
      </w:pPr>
    </w:p>
    <w:p w14:paraId="3B5D53B0" w14:textId="75EFEDF8"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b/>
          <w:color w:val="000000"/>
          <w:lang w:eastAsia="en-PH"/>
        </w:rPr>
      </w:pPr>
      <w:r w:rsidRPr="004C4F6D">
        <w:rPr>
          <w:rFonts w:ascii="Arial" w:eastAsia="Arial Narrow" w:hAnsi="Arial" w:cs="Arial"/>
          <w:b/>
          <w:color w:val="000000"/>
          <w:lang w:eastAsia="en-PH"/>
        </w:rPr>
        <w:t>We recommended and Management agreed to:</w:t>
      </w:r>
    </w:p>
    <w:p w14:paraId="06605B3C" w14:textId="77777777" w:rsidR="00312FC6" w:rsidRPr="004C4F6D" w:rsidRDefault="00312FC6" w:rsidP="004C4F6D">
      <w:pPr>
        <w:pStyle w:val="ListParagraph"/>
        <w:spacing w:after="0" w:line="240" w:lineRule="auto"/>
        <w:ind w:left="0" w:right="133"/>
        <w:jc w:val="both"/>
        <w:rPr>
          <w:rFonts w:ascii="Arial" w:eastAsia="Arial Narrow" w:hAnsi="Arial" w:cs="Arial"/>
          <w:b/>
          <w:color w:val="000000"/>
          <w:lang w:eastAsia="en-PH"/>
        </w:rPr>
      </w:pPr>
    </w:p>
    <w:p w14:paraId="3998CD89" w14:textId="1089361D" w:rsidR="00312FC6" w:rsidRPr="004C4F6D" w:rsidRDefault="002805D4" w:rsidP="00F031BD">
      <w:pPr>
        <w:pStyle w:val="ListParagraph"/>
        <w:numPr>
          <w:ilvl w:val="0"/>
          <w:numId w:val="25"/>
        </w:numPr>
        <w:spacing w:after="0" w:line="240" w:lineRule="auto"/>
        <w:ind w:left="709" w:firstLine="0"/>
        <w:jc w:val="both"/>
        <w:rPr>
          <w:rFonts w:ascii="Arial" w:eastAsia="Arial Narrow" w:hAnsi="Arial" w:cs="Arial"/>
          <w:color w:val="000000"/>
        </w:rPr>
      </w:pPr>
      <w:r w:rsidRPr="004C4F6D">
        <w:rPr>
          <w:rFonts w:ascii="Arial" w:eastAsia="Arial Narrow" w:hAnsi="Arial" w:cs="Arial"/>
          <w:b/>
          <w:color w:val="000000"/>
        </w:rPr>
        <w:t>e</w:t>
      </w:r>
      <w:r w:rsidR="003919DE" w:rsidRPr="004C4F6D">
        <w:rPr>
          <w:rFonts w:ascii="Arial" w:eastAsia="Arial Narrow" w:hAnsi="Arial" w:cs="Arial"/>
          <w:b/>
          <w:color w:val="000000"/>
        </w:rPr>
        <w:t>xhaust all legal remedies available to the Bank, and in a timely manner, issue the necessary Final Notices to Vacate, Writ of Possession, and file Eviction Case, to secure properties from informal settlers/illegal occupants and further deterioration;</w:t>
      </w:r>
    </w:p>
    <w:p w14:paraId="3611D836" w14:textId="77777777" w:rsidR="00312FC6" w:rsidRPr="004C4F6D" w:rsidRDefault="00312FC6" w:rsidP="004C4F6D">
      <w:pPr>
        <w:pStyle w:val="ListParagraph"/>
        <w:spacing w:after="0" w:line="240" w:lineRule="auto"/>
        <w:ind w:left="1134" w:right="197"/>
        <w:jc w:val="both"/>
        <w:rPr>
          <w:rFonts w:ascii="Arial" w:eastAsia="Arial Narrow" w:hAnsi="Arial" w:cs="Arial"/>
          <w:color w:val="000000"/>
        </w:rPr>
      </w:pPr>
    </w:p>
    <w:p w14:paraId="65A0687B" w14:textId="508992F0" w:rsidR="00312FC6" w:rsidRPr="004C4F6D" w:rsidRDefault="003919DE" w:rsidP="00F031BD">
      <w:pPr>
        <w:pStyle w:val="ListParagraph"/>
        <w:numPr>
          <w:ilvl w:val="0"/>
          <w:numId w:val="25"/>
        </w:numPr>
        <w:spacing w:after="0" w:line="240" w:lineRule="auto"/>
        <w:ind w:left="709" w:firstLine="0"/>
        <w:jc w:val="both"/>
        <w:rPr>
          <w:rFonts w:ascii="Arial" w:eastAsia="Arial Narrow" w:hAnsi="Arial" w:cs="Arial"/>
          <w:color w:val="000000"/>
        </w:rPr>
      </w:pPr>
      <w:r w:rsidRPr="004C4F6D">
        <w:rPr>
          <w:rFonts w:ascii="Arial" w:eastAsia="Arial Narrow" w:hAnsi="Arial" w:cs="Arial"/>
          <w:b/>
          <w:color w:val="000000"/>
        </w:rPr>
        <w:t xml:space="preserve">comply </w:t>
      </w:r>
      <w:r w:rsidR="002805D4" w:rsidRPr="004C4F6D">
        <w:rPr>
          <w:rFonts w:ascii="Arial" w:eastAsia="Arial Narrow" w:hAnsi="Arial" w:cs="Arial"/>
          <w:b/>
          <w:color w:val="000000"/>
        </w:rPr>
        <w:t xml:space="preserve">faithfully </w:t>
      </w:r>
      <w:r w:rsidRPr="004C4F6D">
        <w:rPr>
          <w:rFonts w:ascii="Arial" w:eastAsia="Arial Narrow" w:hAnsi="Arial" w:cs="Arial"/>
          <w:b/>
          <w:color w:val="000000"/>
        </w:rPr>
        <w:t>with the provisions on proper administration of ROPA to secure</w:t>
      </w:r>
      <w:r w:rsidR="003B2079" w:rsidRPr="004C4F6D">
        <w:rPr>
          <w:rFonts w:ascii="Arial" w:eastAsia="Arial Narrow" w:hAnsi="Arial" w:cs="Arial"/>
          <w:b/>
          <w:color w:val="000000"/>
        </w:rPr>
        <w:t xml:space="preserve">, </w:t>
      </w:r>
      <w:r w:rsidRPr="004C4F6D">
        <w:rPr>
          <w:rFonts w:ascii="Arial" w:eastAsia="Arial Narrow" w:hAnsi="Arial" w:cs="Arial"/>
          <w:b/>
          <w:color w:val="000000"/>
        </w:rPr>
        <w:t>maintain</w:t>
      </w:r>
      <w:r w:rsidR="003B2079" w:rsidRPr="004C4F6D">
        <w:rPr>
          <w:rFonts w:ascii="Arial" w:eastAsia="Arial Narrow" w:hAnsi="Arial" w:cs="Arial"/>
          <w:b/>
          <w:color w:val="000000"/>
        </w:rPr>
        <w:t xml:space="preserve">, </w:t>
      </w:r>
      <w:r w:rsidRPr="004C4F6D">
        <w:rPr>
          <w:rFonts w:ascii="Arial" w:eastAsia="Arial Narrow" w:hAnsi="Arial" w:cs="Arial"/>
          <w:b/>
          <w:color w:val="000000"/>
        </w:rPr>
        <w:t>enhance or preserve the</w:t>
      </w:r>
      <w:r w:rsidR="003B2079" w:rsidRPr="004C4F6D">
        <w:rPr>
          <w:rFonts w:ascii="Arial" w:eastAsia="Arial Narrow" w:hAnsi="Arial" w:cs="Arial"/>
          <w:b/>
          <w:color w:val="000000"/>
        </w:rPr>
        <w:t xml:space="preserve"> </w:t>
      </w:r>
      <w:r w:rsidRPr="004C4F6D">
        <w:rPr>
          <w:rFonts w:ascii="Arial" w:eastAsia="Arial Narrow" w:hAnsi="Arial" w:cs="Arial"/>
          <w:b/>
          <w:color w:val="000000"/>
        </w:rPr>
        <w:t xml:space="preserve">values </w:t>
      </w:r>
      <w:r w:rsidR="003B2079" w:rsidRPr="004C4F6D">
        <w:rPr>
          <w:rFonts w:ascii="Arial" w:eastAsia="Arial Narrow" w:hAnsi="Arial" w:cs="Arial"/>
          <w:b/>
          <w:color w:val="000000"/>
        </w:rPr>
        <w:t>of properties prior</w:t>
      </w:r>
      <w:r w:rsidRPr="004C4F6D">
        <w:rPr>
          <w:rFonts w:ascii="Arial" w:eastAsia="Arial Narrow" w:hAnsi="Arial" w:cs="Arial"/>
          <w:b/>
          <w:color w:val="000000"/>
        </w:rPr>
        <w:t xml:space="preserve"> </w:t>
      </w:r>
      <w:r w:rsidR="003B2079" w:rsidRPr="004C4F6D">
        <w:rPr>
          <w:rFonts w:ascii="Arial" w:eastAsia="Arial Narrow" w:hAnsi="Arial" w:cs="Arial"/>
          <w:b/>
          <w:color w:val="000000"/>
        </w:rPr>
        <w:t>to</w:t>
      </w:r>
      <w:r w:rsidRPr="004C4F6D">
        <w:rPr>
          <w:rFonts w:ascii="Arial" w:eastAsia="Arial Narrow" w:hAnsi="Arial" w:cs="Arial"/>
          <w:b/>
          <w:color w:val="000000"/>
        </w:rPr>
        <w:t xml:space="preserve"> disposals; and</w:t>
      </w:r>
    </w:p>
    <w:p w14:paraId="55D520DB" w14:textId="77777777" w:rsidR="00312FC6" w:rsidRPr="004C4F6D" w:rsidRDefault="00312FC6" w:rsidP="004C4F6D">
      <w:pPr>
        <w:pStyle w:val="ListParagraph"/>
        <w:spacing w:after="0" w:line="240" w:lineRule="auto"/>
        <w:ind w:left="1134"/>
        <w:rPr>
          <w:rFonts w:ascii="Arial" w:eastAsia="Arial Narrow" w:hAnsi="Arial" w:cs="Arial"/>
          <w:b/>
          <w:color w:val="000000"/>
        </w:rPr>
      </w:pPr>
    </w:p>
    <w:p w14:paraId="6C5A5A28" w14:textId="063FD59F" w:rsidR="00312FC6" w:rsidRPr="004C4F6D" w:rsidRDefault="003919DE" w:rsidP="00F031BD">
      <w:pPr>
        <w:pStyle w:val="ListParagraph"/>
        <w:numPr>
          <w:ilvl w:val="0"/>
          <w:numId w:val="25"/>
        </w:numPr>
        <w:spacing w:after="0" w:line="240" w:lineRule="auto"/>
        <w:ind w:left="709" w:firstLine="0"/>
        <w:jc w:val="both"/>
        <w:rPr>
          <w:rFonts w:ascii="Arial" w:eastAsia="Arial Narrow" w:hAnsi="Arial" w:cs="Arial"/>
          <w:color w:val="000000"/>
        </w:rPr>
      </w:pPr>
      <w:r w:rsidRPr="004C4F6D">
        <w:rPr>
          <w:rFonts w:ascii="Arial" w:eastAsia="Arial Narrow" w:hAnsi="Arial" w:cs="Arial"/>
          <w:b/>
          <w:color w:val="000000"/>
        </w:rPr>
        <w:lastRenderedPageBreak/>
        <w:t xml:space="preserve">investigate </w:t>
      </w:r>
      <w:r w:rsidR="002805D4" w:rsidRPr="004C4F6D">
        <w:rPr>
          <w:rFonts w:ascii="Arial" w:eastAsia="Arial Narrow" w:hAnsi="Arial" w:cs="Arial"/>
          <w:b/>
          <w:color w:val="000000"/>
        </w:rPr>
        <w:t xml:space="preserve">ACA properties incorrectly reported as located at the LBP Plaza, in order </w:t>
      </w:r>
      <w:r w:rsidRPr="004C4F6D">
        <w:rPr>
          <w:rFonts w:ascii="Arial" w:eastAsia="Arial Narrow" w:hAnsi="Arial" w:cs="Arial"/>
          <w:b/>
          <w:color w:val="000000"/>
        </w:rPr>
        <w:t>to establish existence</w:t>
      </w:r>
      <w:r w:rsidR="00B9799F" w:rsidRPr="004C4F6D">
        <w:rPr>
          <w:rFonts w:ascii="Arial" w:eastAsia="Arial Narrow" w:hAnsi="Arial" w:cs="Arial"/>
          <w:b/>
          <w:color w:val="000000"/>
        </w:rPr>
        <w:t>,</w:t>
      </w:r>
      <w:r w:rsidRPr="004C4F6D">
        <w:rPr>
          <w:rFonts w:ascii="Arial" w:eastAsia="Arial Narrow" w:hAnsi="Arial" w:cs="Arial"/>
          <w:b/>
          <w:color w:val="000000"/>
        </w:rPr>
        <w:t xml:space="preserve"> and identify exact locations; expedite </w:t>
      </w:r>
      <w:r w:rsidR="003B2079" w:rsidRPr="004C4F6D">
        <w:rPr>
          <w:rFonts w:ascii="Arial" w:eastAsia="Arial Narrow" w:hAnsi="Arial" w:cs="Arial"/>
          <w:b/>
          <w:color w:val="000000"/>
        </w:rPr>
        <w:t xml:space="preserve">the </w:t>
      </w:r>
      <w:r w:rsidRPr="004C4F6D">
        <w:rPr>
          <w:rFonts w:ascii="Arial" w:eastAsia="Arial Narrow" w:hAnsi="Arial" w:cs="Arial"/>
          <w:b/>
          <w:color w:val="000000"/>
        </w:rPr>
        <w:t>on-going partition procedures and encoding of the complete and accurate details on locations and descriptions of ACA properties</w:t>
      </w:r>
      <w:r w:rsidR="003B2079" w:rsidRPr="004C4F6D">
        <w:rPr>
          <w:rFonts w:ascii="Arial" w:eastAsia="Arial Narrow" w:hAnsi="Arial" w:cs="Arial"/>
          <w:b/>
          <w:color w:val="000000"/>
        </w:rPr>
        <w:t xml:space="preserve"> to the ROPA MS.</w:t>
      </w:r>
    </w:p>
    <w:p w14:paraId="222E0C8E" w14:textId="4B6E0974" w:rsidR="00312FC6" w:rsidRPr="004C4F6D" w:rsidRDefault="00312FC6" w:rsidP="004C4F6D">
      <w:pPr>
        <w:spacing w:after="0" w:line="240" w:lineRule="auto"/>
        <w:jc w:val="both"/>
        <w:rPr>
          <w:rFonts w:ascii="Arial" w:eastAsia="Arial Narrow" w:hAnsi="Arial" w:cs="Arial"/>
          <w:color w:val="000000"/>
        </w:rPr>
      </w:pPr>
    </w:p>
    <w:p w14:paraId="576D7F68" w14:textId="77777777" w:rsidR="003B2079" w:rsidRPr="004C4F6D" w:rsidRDefault="003B2079" w:rsidP="004C4F6D">
      <w:pPr>
        <w:spacing w:after="0" w:line="240" w:lineRule="auto"/>
        <w:jc w:val="both"/>
        <w:rPr>
          <w:rFonts w:ascii="Arial" w:eastAsia="Arial Narrow" w:hAnsi="Arial" w:cs="Arial"/>
          <w:color w:val="000000"/>
        </w:rPr>
      </w:pPr>
    </w:p>
    <w:p w14:paraId="6E5756B4" w14:textId="77777777" w:rsidR="00DD52C2" w:rsidRPr="004C4F6D" w:rsidRDefault="003919DE" w:rsidP="004C4F6D">
      <w:pPr>
        <w:numPr>
          <w:ilvl w:val="0"/>
          <w:numId w:val="35"/>
        </w:numPr>
        <w:spacing w:after="0" w:line="240" w:lineRule="auto"/>
        <w:ind w:left="0" w:firstLine="0"/>
        <w:jc w:val="both"/>
        <w:rPr>
          <w:rFonts w:ascii="Arial" w:eastAsia="Arial Narrow" w:hAnsi="Arial" w:cs="Arial"/>
        </w:rPr>
      </w:pPr>
      <w:r w:rsidRPr="004C4F6D">
        <w:rPr>
          <w:rFonts w:ascii="Arial" w:eastAsia="Arial Narrow" w:hAnsi="Arial" w:cs="Arial"/>
          <w:b/>
        </w:rPr>
        <w:t xml:space="preserve">Expired and excess payments from utilized Letters of Credit (LCs) of National Government Agencies (NGAs) totaling P1.299 billion as of December 31, 2022 were not remitted to the Bureau of Treasury (BTr), contrary to paragraph 4.8 of Treasury Circular (TC) No. 3-2019.  </w:t>
      </w:r>
    </w:p>
    <w:p w14:paraId="4F80DAE0" w14:textId="28CF64B8" w:rsidR="00312FC6" w:rsidRPr="004C4F6D" w:rsidRDefault="00312FC6" w:rsidP="004C4F6D">
      <w:pPr>
        <w:pStyle w:val="ListParagraph"/>
        <w:spacing w:after="0" w:line="240" w:lineRule="auto"/>
        <w:ind w:left="0" w:right="275"/>
        <w:jc w:val="both"/>
        <w:rPr>
          <w:rFonts w:ascii="Arial" w:eastAsia="Arial Narrow" w:hAnsi="Arial" w:cs="Arial"/>
        </w:rPr>
      </w:pPr>
    </w:p>
    <w:p w14:paraId="1D59956D" w14:textId="77777777" w:rsidR="00312FC6" w:rsidRPr="004C4F6D" w:rsidRDefault="00312FC6" w:rsidP="004C4F6D">
      <w:pPr>
        <w:pStyle w:val="ListParagraph"/>
        <w:numPr>
          <w:ilvl w:val="0"/>
          <w:numId w:val="39"/>
        </w:numPr>
        <w:autoSpaceDE w:val="0"/>
        <w:autoSpaceDN w:val="0"/>
        <w:adjustRightInd w:val="0"/>
        <w:spacing w:after="0" w:line="240" w:lineRule="auto"/>
        <w:jc w:val="both"/>
        <w:rPr>
          <w:rFonts w:ascii="Arial" w:eastAsia="Arial Narrow" w:hAnsi="Arial" w:cs="Arial"/>
          <w:vanish/>
          <w:color w:val="000000"/>
        </w:rPr>
      </w:pPr>
    </w:p>
    <w:p w14:paraId="10C6261B" w14:textId="3757B90A"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As stated in Treasury Circular (TC) No. 3-2019, dated May 10, 2019, Banking Arrangements on the Use of Letter of Credit, there are National Government Agencies (NGAs) that in the performance of their mandates procure goods and services in other countries and make use of a Letter of Credit (LC), a document issued by a bank to guarantee, on behalf of the procuring NGA or buyer timely payment to the seller or exporter against the receipt of complying stipulated documents. However, the TC also pointed out, the use of domestic and foreign LCs already resulted in actual cash already released from the Modified Disbursement System (MDS) of procuring agencies to the Government Servicing Banks (GSBs), thus, there is a carrying cost for the government for using an LC especially if delivery of goods will take longer.</w:t>
      </w:r>
    </w:p>
    <w:p w14:paraId="1CB0936E" w14:textId="77777777" w:rsidR="00312FC6" w:rsidRPr="004C4F6D" w:rsidRDefault="00312FC6" w:rsidP="004C4F6D">
      <w:pPr>
        <w:pStyle w:val="ListParagraph"/>
        <w:spacing w:after="0" w:line="240" w:lineRule="auto"/>
        <w:ind w:left="0"/>
        <w:jc w:val="both"/>
        <w:rPr>
          <w:rFonts w:ascii="Arial" w:eastAsia="Arial Narrow" w:hAnsi="Arial" w:cs="Arial"/>
          <w:color w:val="000000"/>
        </w:rPr>
      </w:pPr>
    </w:p>
    <w:p w14:paraId="3D14B096" w14:textId="2D41C256" w:rsidR="00312FC6" w:rsidRPr="004C4F6D" w:rsidRDefault="003919DE"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The sa</w:t>
      </w:r>
      <w:r w:rsidR="008F56EE" w:rsidRPr="004C4F6D">
        <w:rPr>
          <w:rFonts w:ascii="Arial" w:eastAsia="Arial Narrow" w:hAnsi="Arial" w:cs="Arial"/>
          <w:color w:val="000000"/>
        </w:rPr>
        <w:t xml:space="preserve">me </w:t>
      </w:r>
      <w:r w:rsidRPr="004C4F6D">
        <w:rPr>
          <w:rFonts w:ascii="Arial" w:eastAsia="Arial Narrow" w:hAnsi="Arial" w:cs="Arial"/>
          <w:color w:val="000000"/>
        </w:rPr>
        <w:t>TC was issued to clarify the use of LCs in the NGA operations; provide assistance to the gov</w:t>
      </w:r>
      <w:r w:rsidR="008F56EE" w:rsidRPr="004C4F6D">
        <w:rPr>
          <w:rFonts w:ascii="Arial" w:eastAsia="Arial Narrow" w:hAnsi="Arial" w:cs="Arial"/>
          <w:color w:val="000000"/>
        </w:rPr>
        <w:t>ernment</w:t>
      </w:r>
      <w:r w:rsidRPr="004C4F6D">
        <w:rPr>
          <w:rFonts w:ascii="Arial" w:eastAsia="Arial Narrow" w:hAnsi="Arial" w:cs="Arial"/>
          <w:color w:val="000000"/>
        </w:rPr>
        <w:t xml:space="preserve"> agencies in opening of LCs; and to efficiently manage the government’s cash resources.  It specifically provides the following:</w:t>
      </w:r>
    </w:p>
    <w:p w14:paraId="5DC74B39" w14:textId="77777777" w:rsidR="00312FC6" w:rsidRPr="004C4F6D" w:rsidRDefault="00312FC6" w:rsidP="004C4F6D">
      <w:pPr>
        <w:pStyle w:val="ListParagraph"/>
        <w:spacing w:after="0" w:line="240" w:lineRule="auto"/>
        <w:ind w:left="0" w:right="275"/>
        <w:jc w:val="both"/>
        <w:rPr>
          <w:rFonts w:ascii="Arial" w:eastAsia="Arial Narrow" w:hAnsi="Arial" w:cs="Arial"/>
          <w:color w:val="000000"/>
        </w:rPr>
      </w:pPr>
    </w:p>
    <w:p w14:paraId="419DB6A7" w14:textId="4EC936EE" w:rsidR="00312FC6" w:rsidRPr="004C4F6D" w:rsidRDefault="003919DE" w:rsidP="004C4F6D">
      <w:pPr>
        <w:spacing w:after="0" w:line="240" w:lineRule="auto"/>
        <w:ind w:left="1170" w:right="522" w:hanging="460"/>
        <w:jc w:val="both"/>
        <w:rPr>
          <w:rFonts w:ascii="Arial" w:eastAsia="Arial Narrow" w:hAnsi="Arial" w:cs="Arial"/>
          <w:i/>
          <w:color w:val="000000"/>
        </w:rPr>
      </w:pPr>
      <w:r w:rsidRPr="004C4F6D">
        <w:rPr>
          <w:rFonts w:ascii="Arial" w:eastAsia="Arial Narrow" w:hAnsi="Arial" w:cs="Arial"/>
          <w:i/>
          <w:color w:val="000000"/>
        </w:rPr>
        <w:t xml:space="preserve">4.1 </w:t>
      </w:r>
      <w:r w:rsidR="008F56EE" w:rsidRPr="004C4F6D">
        <w:rPr>
          <w:rFonts w:ascii="Arial" w:eastAsia="Arial Narrow" w:hAnsi="Arial" w:cs="Arial"/>
          <w:i/>
          <w:color w:val="000000"/>
        </w:rPr>
        <w:tab/>
      </w:r>
      <w:r w:rsidRPr="004C4F6D">
        <w:rPr>
          <w:rFonts w:ascii="Arial" w:eastAsia="Arial Narrow" w:hAnsi="Arial" w:cs="Arial"/>
          <w:i/>
          <w:color w:val="000000"/>
        </w:rPr>
        <w:t>The use of LC shall be limited to foreign operation. Xxx.</w:t>
      </w:r>
    </w:p>
    <w:p w14:paraId="5A75028D" w14:textId="77777777" w:rsidR="00312FC6" w:rsidRPr="004C4F6D" w:rsidRDefault="00312FC6" w:rsidP="004C4F6D">
      <w:pPr>
        <w:spacing w:after="0" w:line="240" w:lineRule="auto"/>
        <w:ind w:left="1560" w:right="522" w:hanging="370"/>
        <w:jc w:val="both"/>
        <w:rPr>
          <w:rFonts w:ascii="Arial" w:eastAsia="Arial Narrow" w:hAnsi="Arial" w:cs="Arial"/>
          <w:color w:val="000000"/>
        </w:rPr>
      </w:pPr>
    </w:p>
    <w:p w14:paraId="55EFCBEA" w14:textId="184D3290" w:rsidR="00312FC6" w:rsidRPr="004C4F6D" w:rsidRDefault="003919DE" w:rsidP="004C4F6D">
      <w:pPr>
        <w:spacing w:after="0" w:line="240" w:lineRule="auto"/>
        <w:ind w:left="1170" w:right="522" w:hanging="450"/>
        <w:jc w:val="both"/>
        <w:rPr>
          <w:rFonts w:ascii="Arial" w:eastAsia="Arial Narrow" w:hAnsi="Arial" w:cs="Arial"/>
          <w:i/>
          <w:color w:val="000000"/>
        </w:rPr>
      </w:pPr>
      <w:r w:rsidRPr="004C4F6D">
        <w:rPr>
          <w:rFonts w:ascii="Arial" w:eastAsia="Arial Narrow" w:hAnsi="Arial" w:cs="Arial"/>
          <w:i/>
          <w:color w:val="000000"/>
        </w:rPr>
        <w:t>4.2</w:t>
      </w:r>
      <w:r w:rsidR="008F56EE" w:rsidRPr="004C4F6D">
        <w:rPr>
          <w:rFonts w:ascii="Arial" w:eastAsia="Arial Narrow" w:hAnsi="Arial" w:cs="Arial"/>
          <w:i/>
          <w:color w:val="000000"/>
        </w:rPr>
        <w:t xml:space="preserve"> </w:t>
      </w:r>
      <w:r w:rsidRPr="004C4F6D">
        <w:rPr>
          <w:rFonts w:ascii="Arial" w:eastAsia="Arial Narrow" w:hAnsi="Arial" w:cs="Arial"/>
          <w:i/>
          <w:color w:val="000000"/>
        </w:rPr>
        <w:t>The new banking arrangement will be covered by a Memorandum of Agreement between BTr and the Government Servicing Banks (GSBs) to establish, standardize, and negotiate terms and conditions for all outstanding and new LC.</w:t>
      </w:r>
    </w:p>
    <w:p w14:paraId="6B6EB10A" w14:textId="77777777" w:rsidR="00312FC6" w:rsidRPr="004C4F6D" w:rsidRDefault="00312FC6" w:rsidP="004C4F6D">
      <w:pPr>
        <w:spacing w:after="0" w:line="240" w:lineRule="auto"/>
        <w:ind w:left="1560" w:right="522" w:hanging="370"/>
        <w:jc w:val="both"/>
        <w:rPr>
          <w:rFonts w:ascii="Arial" w:eastAsia="Arial Narrow" w:hAnsi="Arial" w:cs="Arial"/>
          <w:color w:val="000000"/>
        </w:rPr>
      </w:pPr>
    </w:p>
    <w:p w14:paraId="108AAF18" w14:textId="77777777" w:rsidR="00312FC6" w:rsidRPr="004C4F6D" w:rsidRDefault="003919DE" w:rsidP="004C4F6D">
      <w:pPr>
        <w:spacing w:after="0" w:line="240" w:lineRule="auto"/>
        <w:ind w:left="1134" w:right="522" w:hanging="370"/>
        <w:jc w:val="both"/>
        <w:rPr>
          <w:rFonts w:ascii="Arial" w:eastAsia="Arial Narrow" w:hAnsi="Arial" w:cs="Arial"/>
          <w:i/>
          <w:color w:val="000000"/>
        </w:rPr>
      </w:pPr>
      <w:r w:rsidRPr="004C4F6D">
        <w:rPr>
          <w:rFonts w:ascii="Arial" w:eastAsia="Arial Narrow" w:hAnsi="Arial" w:cs="Arial"/>
          <w:i/>
          <w:color w:val="000000"/>
        </w:rPr>
        <w:t xml:space="preserve">       Xxx</w:t>
      </w:r>
    </w:p>
    <w:p w14:paraId="336BD2E8" w14:textId="77777777" w:rsidR="00312FC6" w:rsidRPr="004C4F6D" w:rsidRDefault="00312FC6" w:rsidP="004C4F6D">
      <w:pPr>
        <w:spacing w:after="0" w:line="240" w:lineRule="auto"/>
        <w:ind w:left="1134" w:right="522" w:hanging="370"/>
        <w:jc w:val="both"/>
        <w:rPr>
          <w:rFonts w:ascii="Arial" w:eastAsia="Arial Narrow" w:hAnsi="Arial" w:cs="Arial"/>
          <w:color w:val="000000"/>
        </w:rPr>
      </w:pPr>
    </w:p>
    <w:p w14:paraId="4A86E80C" w14:textId="64997994" w:rsidR="00312FC6" w:rsidRPr="004C4F6D" w:rsidRDefault="003919DE" w:rsidP="004C4F6D">
      <w:pPr>
        <w:spacing w:after="0" w:line="240" w:lineRule="auto"/>
        <w:ind w:left="1170" w:right="522" w:hanging="450"/>
        <w:jc w:val="both"/>
        <w:rPr>
          <w:rFonts w:ascii="Arial" w:eastAsia="Arial Narrow" w:hAnsi="Arial" w:cs="Arial"/>
          <w:i/>
          <w:color w:val="000000"/>
        </w:rPr>
      </w:pPr>
      <w:r w:rsidRPr="004C4F6D">
        <w:rPr>
          <w:rFonts w:ascii="Arial" w:eastAsia="Arial Narrow" w:hAnsi="Arial" w:cs="Arial"/>
          <w:i/>
          <w:color w:val="000000"/>
        </w:rPr>
        <w:t xml:space="preserve">4.5 </w:t>
      </w:r>
      <w:r w:rsidR="008F56EE" w:rsidRPr="004C4F6D">
        <w:rPr>
          <w:rFonts w:ascii="Arial" w:eastAsia="Arial Narrow" w:hAnsi="Arial" w:cs="Arial"/>
          <w:i/>
          <w:color w:val="000000"/>
        </w:rPr>
        <w:tab/>
      </w:r>
      <w:r w:rsidRPr="004C4F6D">
        <w:rPr>
          <w:rFonts w:ascii="Arial" w:eastAsia="Arial Narrow" w:hAnsi="Arial" w:cs="Arial"/>
          <w:i/>
          <w:color w:val="000000"/>
        </w:rPr>
        <w:t xml:space="preserve">The BTr shall negotiate the interest on the fund while waiting negotiation of the outstanding LC. GSBs shall remit monthly interest earnings to the account that will be designated by BTr. Said interest income unless expressly provided by law shall be remitted to the General Fund. </w:t>
      </w:r>
    </w:p>
    <w:p w14:paraId="7B685612" w14:textId="77777777" w:rsidR="008F56EE" w:rsidRPr="004C4F6D" w:rsidRDefault="008F56EE" w:rsidP="004C4F6D">
      <w:pPr>
        <w:spacing w:after="0" w:line="240" w:lineRule="auto"/>
        <w:ind w:left="1170" w:right="522" w:hanging="450"/>
        <w:jc w:val="both"/>
        <w:rPr>
          <w:rFonts w:ascii="Arial" w:eastAsia="Arial Narrow" w:hAnsi="Arial" w:cs="Arial"/>
          <w:color w:val="000000"/>
        </w:rPr>
      </w:pPr>
    </w:p>
    <w:p w14:paraId="3480DF10" w14:textId="77777777" w:rsidR="00312FC6" w:rsidRPr="004C4F6D" w:rsidRDefault="003919DE" w:rsidP="004C4F6D">
      <w:pPr>
        <w:spacing w:after="0" w:line="240" w:lineRule="auto"/>
        <w:ind w:left="1170" w:right="522" w:hanging="450"/>
        <w:jc w:val="both"/>
        <w:rPr>
          <w:rFonts w:ascii="Arial" w:eastAsia="Arial Narrow" w:hAnsi="Arial" w:cs="Arial"/>
          <w:i/>
          <w:color w:val="000000"/>
        </w:rPr>
      </w:pPr>
      <w:r w:rsidRPr="004C4F6D">
        <w:rPr>
          <w:rFonts w:ascii="Arial" w:eastAsia="Arial Narrow" w:hAnsi="Arial" w:cs="Arial"/>
          <w:i/>
          <w:color w:val="000000"/>
        </w:rPr>
        <w:t>4.6 The concerned GSBs shall provide BTr and DBM status of outstanding LCs monthly.</w:t>
      </w:r>
    </w:p>
    <w:p w14:paraId="4EFA4653" w14:textId="77777777" w:rsidR="00312FC6" w:rsidRPr="004C4F6D" w:rsidRDefault="00312FC6" w:rsidP="004C4F6D">
      <w:pPr>
        <w:spacing w:after="0" w:line="240" w:lineRule="auto"/>
        <w:ind w:left="1560" w:right="522" w:hanging="370"/>
        <w:jc w:val="both"/>
        <w:rPr>
          <w:rFonts w:ascii="Arial" w:eastAsia="Arial Narrow" w:hAnsi="Arial" w:cs="Arial"/>
          <w:color w:val="000000"/>
        </w:rPr>
      </w:pPr>
    </w:p>
    <w:p w14:paraId="7268AC00" w14:textId="77777777" w:rsidR="00312FC6" w:rsidRPr="004C4F6D" w:rsidRDefault="003919DE" w:rsidP="004C4F6D">
      <w:pPr>
        <w:spacing w:after="0" w:line="240" w:lineRule="auto"/>
        <w:ind w:left="1170" w:right="522" w:hanging="450"/>
        <w:jc w:val="both"/>
        <w:rPr>
          <w:rFonts w:ascii="Arial" w:eastAsia="Arial Narrow" w:hAnsi="Arial" w:cs="Arial"/>
          <w:i/>
          <w:color w:val="000000"/>
        </w:rPr>
      </w:pPr>
      <w:r w:rsidRPr="004C4F6D">
        <w:rPr>
          <w:rFonts w:ascii="Arial" w:eastAsia="Arial Narrow" w:hAnsi="Arial" w:cs="Arial"/>
          <w:i/>
          <w:color w:val="000000"/>
        </w:rPr>
        <w:t>4.7 Xxx. In addition, GSB shall recommend closure of LC outstanding for goods/services already delivered/rendered based on documents submitted by the NGAs.</w:t>
      </w:r>
    </w:p>
    <w:p w14:paraId="349B71A3" w14:textId="77777777" w:rsidR="00312FC6" w:rsidRPr="004C4F6D" w:rsidRDefault="00312FC6" w:rsidP="004C4F6D">
      <w:pPr>
        <w:spacing w:after="0" w:line="240" w:lineRule="auto"/>
        <w:ind w:left="1560" w:right="522" w:hanging="370"/>
        <w:jc w:val="both"/>
        <w:rPr>
          <w:rFonts w:ascii="Arial" w:eastAsia="Arial Narrow" w:hAnsi="Arial" w:cs="Arial"/>
          <w:color w:val="000000"/>
        </w:rPr>
      </w:pPr>
    </w:p>
    <w:p w14:paraId="4A635AF2" w14:textId="4FDEA27A" w:rsidR="00312FC6" w:rsidRDefault="003919DE" w:rsidP="004C4F6D">
      <w:pPr>
        <w:spacing w:after="0" w:line="240" w:lineRule="auto"/>
        <w:ind w:left="1170" w:right="522" w:hanging="450"/>
        <w:jc w:val="both"/>
        <w:rPr>
          <w:rFonts w:ascii="Arial" w:eastAsia="Arial Narrow" w:hAnsi="Arial" w:cs="Arial"/>
          <w:i/>
          <w:color w:val="000000"/>
        </w:rPr>
      </w:pPr>
      <w:r w:rsidRPr="004C4F6D">
        <w:rPr>
          <w:rFonts w:ascii="Arial" w:eastAsia="Arial Narrow" w:hAnsi="Arial" w:cs="Arial"/>
          <w:i/>
          <w:color w:val="000000"/>
        </w:rPr>
        <w:t xml:space="preserve">4.8 In case of cancellation of the LC, the GSB shall refund any unutilized balance. For expired LC without request for extension from an NGA, the GSB shall refund not earlier than 6 months any unutilized balance. In </w:t>
      </w:r>
      <w:r w:rsidRPr="004C4F6D">
        <w:rPr>
          <w:rFonts w:ascii="Arial" w:eastAsia="Arial Narrow" w:hAnsi="Arial" w:cs="Arial"/>
          <w:i/>
          <w:color w:val="000000"/>
        </w:rPr>
        <w:lastRenderedPageBreak/>
        <w:t>both instances, the GSB shall remit unutilized balance to the account of BTr.</w:t>
      </w:r>
    </w:p>
    <w:p w14:paraId="2B0C084D" w14:textId="77777777" w:rsidR="003B52AF" w:rsidRPr="004C4F6D" w:rsidRDefault="003B52AF" w:rsidP="004C4F6D">
      <w:pPr>
        <w:spacing w:after="0" w:line="240" w:lineRule="auto"/>
        <w:ind w:left="1170" w:right="522" w:hanging="450"/>
        <w:jc w:val="both"/>
        <w:rPr>
          <w:rFonts w:ascii="Arial" w:eastAsia="Arial Narrow" w:hAnsi="Arial" w:cs="Arial"/>
          <w:i/>
          <w:color w:val="000000"/>
        </w:rPr>
      </w:pPr>
    </w:p>
    <w:p w14:paraId="309FEFCF" w14:textId="5FA72C27" w:rsidR="00312FC6" w:rsidRPr="004C4F6D" w:rsidRDefault="003919DE" w:rsidP="004C4F6D">
      <w:pPr>
        <w:spacing w:after="0" w:line="240" w:lineRule="auto"/>
        <w:ind w:left="1170" w:right="522" w:hanging="450"/>
        <w:jc w:val="both"/>
        <w:rPr>
          <w:rFonts w:ascii="Arial" w:eastAsia="Arial Narrow" w:hAnsi="Arial" w:cs="Arial"/>
          <w:b/>
          <w:i/>
          <w:color w:val="000000"/>
        </w:rPr>
      </w:pPr>
      <w:r w:rsidRPr="004C4F6D">
        <w:rPr>
          <w:rFonts w:ascii="Arial" w:eastAsia="Arial Narrow" w:hAnsi="Arial" w:cs="Arial"/>
          <w:b/>
          <w:i/>
          <w:color w:val="000000"/>
        </w:rPr>
        <w:t xml:space="preserve">5. </w:t>
      </w:r>
      <w:r w:rsidR="00DD70FC" w:rsidRPr="004C4F6D">
        <w:rPr>
          <w:rFonts w:ascii="Arial" w:eastAsia="Arial Narrow" w:hAnsi="Arial" w:cs="Arial"/>
          <w:b/>
          <w:i/>
          <w:color w:val="000000"/>
        </w:rPr>
        <w:tab/>
      </w:r>
      <w:r w:rsidRPr="004C4F6D">
        <w:rPr>
          <w:rFonts w:ascii="Arial" w:eastAsia="Arial Narrow" w:hAnsi="Arial" w:cs="Arial"/>
          <w:b/>
          <w:i/>
          <w:color w:val="000000"/>
        </w:rPr>
        <w:t>Transitory Provision</w:t>
      </w:r>
    </w:p>
    <w:p w14:paraId="02BFA288" w14:textId="77777777" w:rsidR="00312FC6" w:rsidRPr="004C4F6D" w:rsidRDefault="00312FC6" w:rsidP="004C4F6D">
      <w:pPr>
        <w:spacing w:after="0" w:line="240" w:lineRule="auto"/>
        <w:ind w:left="1560" w:right="522" w:hanging="370"/>
        <w:jc w:val="both"/>
        <w:rPr>
          <w:rFonts w:ascii="Arial" w:eastAsia="Arial Narrow" w:hAnsi="Arial" w:cs="Arial"/>
          <w:color w:val="000000"/>
        </w:rPr>
      </w:pPr>
    </w:p>
    <w:p w14:paraId="0CCAF614" w14:textId="77777777" w:rsidR="00312FC6" w:rsidRPr="004C4F6D" w:rsidRDefault="003919DE" w:rsidP="004C4F6D">
      <w:pPr>
        <w:spacing w:after="0" w:line="240" w:lineRule="auto"/>
        <w:ind w:left="1170" w:right="522" w:hanging="450"/>
        <w:jc w:val="both"/>
        <w:rPr>
          <w:rFonts w:ascii="Arial" w:eastAsia="Arial Narrow" w:hAnsi="Arial" w:cs="Arial"/>
          <w:i/>
          <w:color w:val="000000"/>
        </w:rPr>
      </w:pPr>
      <w:r w:rsidRPr="004C4F6D">
        <w:rPr>
          <w:rFonts w:ascii="Arial" w:eastAsia="Arial Narrow" w:hAnsi="Arial" w:cs="Arial"/>
          <w:i/>
          <w:color w:val="000000"/>
        </w:rPr>
        <w:t>5.1 The BTr shall negotiate with the GSB concerned interest on the amount of outstanding LCs</w:t>
      </w:r>
    </w:p>
    <w:p w14:paraId="614F195C" w14:textId="77777777" w:rsidR="00312FC6" w:rsidRPr="004C4F6D" w:rsidRDefault="00312FC6" w:rsidP="004C4F6D">
      <w:pPr>
        <w:spacing w:after="0" w:line="240" w:lineRule="auto"/>
        <w:ind w:left="1560" w:right="522" w:hanging="370"/>
        <w:jc w:val="both"/>
        <w:rPr>
          <w:rFonts w:ascii="Arial" w:eastAsia="Arial Narrow" w:hAnsi="Arial" w:cs="Arial"/>
          <w:color w:val="000000"/>
        </w:rPr>
      </w:pPr>
    </w:p>
    <w:p w14:paraId="328CC2D1" w14:textId="77777777" w:rsidR="00312FC6" w:rsidRPr="004C4F6D" w:rsidRDefault="003919DE" w:rsidP="004C4F6D">
      <w:pPr>
        <w:spacing w:after="0" w:line="240" w:lineRule="auto"/>
        <w:ind w:left="1170" w:right="522" w:hanging="450"/>
        <w:jc w:val="both"/>
        <w:rPr>
          <w:rFonts w:ascii="Arial" w:eastAsia="Arial Narrow" w:hAnsi="Arial" w:cs="Arial"/>
          <w:i/>
          <w:color w:val="000000"/>
        </w:rPr>
      </w:pPr>
      <w:r w:rsidRPr="004C4F6D">
        <w:rPr>
          <w:rFonts w:ascii="Arial" w:eastAsia="Arial Narrow" w:hAnsi="Arial" w:cs="Arial"/>
          <w:i/>
          <w:color w:val="000000"/>
        </w:rPr>
        <w:t>5.3  All existing agreements relating to LCs shall be superseded and shall be covered by new Memorandum of Agreement pursuant to 4.2 of this Circular.</w:t>
      </w:r>
    </w:p>
    <w:p w14:paraId="5D1AA5C3" w14:textId="77777777" w:rsidR="00312FC6" w:rsidRPr="004C4F6D" w:rsidRDefault="00312FC6" w:rsidP="004C4F6D">
      <w:pPr>
        <w:spacing w:after="0" w:line="240" w:lineRule="auto"/>
        <w:ind w:left="1560" w:right="522" w:hanging="370"/>
        <w:jc w:val="both"/>
        <w:rPr>
          <w:rFonts w:ascii="Arial" w:eastAsia="Arial Narrow" w:hAnsi="Arial" w:cs="Arial"/>
          <w:color w:val="000000"/>
        </w:rPr>
      </w:pPr>
    </w:p>
    <w:p w14:paraId="625621E0" w14:textId="3DFCD8DC" w:rsidR="00312FC6" w:rsidRPr="004C4F6D" w:rsidRDefault="00DD70FC"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color w:val="000000"/>
        </w:rPr>
        <w:t>Review of the</w:t>
      </w:r>
      <w:r w:rsidR="003919DE" w:rsidRPr="004C4F6D">
        <w:rPr>
          <w:rFonts w:ascii="Arial" w:eastAsia="Arial Narrow" w:hAnsi="Arial" w:cs="Arial"/>
          <w:color w:val="000000"/>
        </w:rPr>
        <w:t xml:space="preserve"> compliance </w:t>
      </w:r>
      <w:r w:rsidRPr="004C4F6D">
        <w:rPr>
          <w:rFonts w:ascii="Arial" w:eastAsia="Arial Narrow" w:hAnsi="Arial" w:cs="Arial"/>
          <w:color w:val="000000"/>
        </w:rPr>
        <w:t>on</w:t>
      </w:r>
      <w:r w:rsidR="003919DE" w:rsidRPr="004C4F6D">
        <w:rPr>
          <w:rFonts w:ascii="Arial" w:eastAsia="Arial Narrow" w:hAnsi="Arial" w:cs="Arial"/>
          <w:color w:val="000000"/>
        </w:rPr>
        <w:t xml:space="preserve"> the subject TC</w:t>
      </w:r>
      <w:r w:rsidRPr="004C4F6D">
        <w:rPr>
          <w:rFonts w:ascii="Arial" w:eastAsia="Arial Narrow" w:hAnsi="Arial" w:cs="Arial"/>
          <w:color w:val="000000"/>
        </w:rPr>
        <w:t xml:space="preserve"> by the Bank, as GSB,</w:t>
      </w:r>
      <w:r w:rsidR="003919DE" w:rsidRPr="004C4F6D">
        <w:rPr>
          <w:rFonts w:ascii="Arial" w:eastAsia="Arial Narrow" w:hAnsi="Arial" w:cs="Arial"/>
          <w:color w:val="000000"/>
        </w:rPr>
        <w:t xml:space="preserve"> </w:t>
      </w:r>
      <w:r w:rsidRPr="004C4F6D">
        <w:rPr>
          <w:rFonts w:ascii="Arial" w:eastAsia="Arial Narrow" w:hAnsi="Arial" w:cs="Arial"/>
          <w:color w:val="000000"/>
        </w:rPr>
        <w:t xml:space="preserve">disclosed the </w:t>
      </w:r>
      <w:r w:rsidR="003919DE" w:rsidRPr="004C4F6D">
        <w:rPr>
          <w:rFonts w:ascii="Arial" w:eastAsia="Arial Narrow" w:hAnsi="Arial" w:cs="Arial"/>
          <w:color w:val="000000"/>
        </w:rPr>
        <w:t>expired and unutilized Marginal Deposits on Domestic LCs and Cash LCs – Foreign LCs which remain</w:t>
      </w:r>
      <w:r w:rsidRPr="004C4F6D">
        <w:rPr>
          <w:rFonts w:ascii="Arial" w:eastAsia="Arial Narrow" w:hAnsi="Arial" w:cs="Arial"/>
          <w:color w:val="000000"/>
        </w:rPr>
        <w:t>ed</w:t>
      </w:r>
      <w:r w:rsidR="003919DE" w:rsidRPr="004C4F6D">
        <w:rPr>
          <w:rFonts w:ascii="Arial" w:eastAsia="Arial Narrow" w:hAnsi="Arial" w:cs="Arial"/>
          <w:color w:val="000000"/>
        </w:rPr>
        <w:t xml:space="preserve"> with the Bank and not remitted to the BTr as of December 31, 2022, contrary to paragraph 4.8 of the TC. </w:t>
      </w:r>
    </w:p>
    <w:p w14:paraId="1D5E67C4" w14:textId="77777777" w:rsidR="00312FC6" w:rsidRPr="004C4F6D" w:rsidRDefault="00312FC6" w:rsidP="004C4F6D">
      <w:pPr>
        <w:pStyle w:val="ListParagraph"/>
        <w:spacing w:after="0" w:line="240" w:lineRule="auto"/>
        <w:ind w:left="0"/>
        <w:jc w:val="both"/>
        <w:rPr>
          <w:rFonts w:ascii="Arial" w:eastAsia="Arial Narrow" w:hAnsi="Arial" w:cs="Arial"/>
        </w:rPr>
      </w:pPr>
    </w:p>
    <w:tbl>
      <w:tblPr>
        <w:tblStyle w:val="21"/>
        <w:tblW w:w="8652" w:type="dxa"/>
        <w:tblInd w:w="-5" w:type="dxa"/>
        <w:tblLayout w:type="fixed"/>
        <w:tblLook w:val="04A0" w:firstRow="1" w:lastRow="0" w:firstColumn="1" w:lastColumn="0" w:noHBand="0" w:noVBand="1"/>
      </w:tblPr>
      <w:tblGrid>
        <w:gridCol w:w="3402"/>
        <w:gridCol w:w="993"/>
        <w:gridCol w:w="1417"/>
        <w:gridCol w:w="1134"/>
        <w:gridCol w:w="1706"/>
      </w:tblGrid>
      <w:tr w:rsidR="00312FC6" w:rsidRPr="004C4F6D" w14:paraId="7C47427B" w14:textId="77777777">
        <w:trPr>
          <w:cantSplit/>
          <w:trHeight w:val="323"/>
          <w:tblHeader/>
        </w:trPr>
        <w:tc>
          <w:tcPr>
            <w:tcW w:w="3402" w:type="dxa"/>
            <w:vMerge w:val="restart"/>
            <w:tcBorders>
              <w:top w:val="single" w:sz="4" w:space="0" w:color="auto"/>
              <w:bottom w:val="single" w:sz="4" w:space="0" w:color="auto"/>
            </w:tcBorders>
            <w:shd w:val="clear" w:color="auto" w:fill="auto"/>
            <w:vAlign w:val="center"/>
          </w:tcPr>
          <w:p w14:paraId="49BF986E"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b/>
                <w:color w:val="000000"/>
                <w:sz w:val="20"/>
                <w:szCs w:val="20"/>
              </w:rPr>
              <w:t>NATIONAL GOVERNMENT AGENCIES</w:t>
            </w:r>
          </w:p>
        </w:tc>
        <w:tc>
          <w:tcPr>
            <w:tcW w:w="993" w:type="dxa"/>
            <w:vMerge w:val="restart"/>
            <w:tcBorders>
              <w:top w:val="single" w:sz="4" w:space="0" w:color="auto"/>
              <w:bottom w:val="single" w:sz="4" w:space="0" w:color="auto"/>
            </w:tcBorders>
            <w:shd w:val="clear" w:color="auto" w:fill="auto"/>
            <w:vAlign w:val="center"/>
          </w:tcPr>
          <w:p w14:paraId="56477FB6"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b/>
                <w:color w:val="000000"/>
                <w:sz w:val="20"/>
                <w:szCs w:val="20"/>
              </w:rPr>
              <w:t xml:space="preserve"> NO. OF LCs </w:t>
            </w:r>
          </w:p>
        </w:tc>
        <w:tc>
          <w:tcPr>
            <w:tcW w:w="2551" w:type="dxa"/>
            <w:gridSpan w:val="2"/>
            <w:tcBorders>
              <w:top w:val="single" w:sz="4" w:space="0" w:color="auto"/>
              <w:bottom w:val="single" w:sz="4" w:space="0" w:color="auto"/>
            </w:tcBorders>
            <w:shd w:val="clear" w:color="auto" w:fill="auto"/>
            <w:vAlign w:val="center"/>
          </w:tcPr>
          <w:p w14:paraId="0FFB5B76"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b/>
                <w:color w:val="000000"/>
                <w:sz w:val="20"/>
                <w:szCs w:val="20"/>
              </w:rPr>
              <w:t>NO. OF MONTHS/YEARS EXPIRED</w:t>
            </w:r>
          </w:p>
        </w:tc>
        <w:tc>
          <w:tcPr>
            <w:tcW w:w="1706" w:type="dxa"/>
            <w:vMerge w:val="restart"/>
            <w:tcBorders>
              <w:top w:val="single" w:sz="4" w:space="0" w:color="auto"/>
              <w:bottom w:val="single" w:sz="4" w:space="0" w:color="auto"/>
            </w:tcBorders>
            <w:shd w:val="clear" w:color="auto" w:fill="auto"/>
            <w:vAlign w:val="center"/>
          </w:tcPr>
          <w:p w14:paraId="38F07863"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b/>
                <w:color w:val="000000"/>
                <w:sz w:val="20"/>
                <w:szCs w:val="20"/>
              </w:rPr>
              <w:t xml:space="preserve"> PESO AMOUNT </w:t>
            </w:r>
          </w:p>
        </w:tc>
      </w:tr>
      <w:tr w:rsidR="00312FC6" w:rsidRPr="004C4F6D" w14:paraId="1305F7C5" w14:textId="77777777">
        <w:trPr>
          <w:cantSplit/>
          <w:trHeight w:val="202"/>
          <w:tblHeader/>
        </w:trPr>
        <w:tc>
          <w:tcPr>
            <w:tcW w:w="3402" w:type="dxa"/>
            <w:vMerge/>
            <w:tcBorders>
              <w:top w:val="single" w:sz="4" w:space="0" w:color="auto"/>
              <w:bottom w:val="single" w:sz="4" w:space="0" w:color="auto"/>
            </w:tcBorders>
            <w:shd w:val="clear" w:color="auto" w:fill="auto"/>
            <w:vAlign w:val="center"/>
          </w:tcPr>
          <w:p w14:paraId="54CE64B0" w14:textId="77777777" w:rsidR="00312FC6" w:rsidRPr="004C4F6D" w:rsidRDefault="00312FC6" w:rsidP="004C4F6D">
            <w:pPr>
              <w:widowControl w:val="0"/>
              <w:spacing w:after="0" w:line="240" w:lineRule="auto"/>
              <w:rPr>
                <w:rFonts w:ascii="Arial" w:eastAsia="Arial Narrow" w:hAnsi="Arial" w:cs="Arial"/>
                <w:color w:val="000000"/>
                <w:sz w:val="20"/>
                <w:szCs w:val="20"/>
              </w:rPr>
            </w:pPr>
          </w:p>
        </w:tc>
        <w:tc>
          <w:tcPr>
            <w:tcW w:w="993" w:type="dxa"/>
            <w:vMerge/>
            <w:tcBorders>
              <w:top w:val="single" w:sz="4" w:space="0" w:color="auto"/>
              <w:bottom w:val="single" w:sz="4" w:space="0" w:color="auto"/>
            </w:tcBorders>
            <w:shd w:val="clear" w:color="auto" w:fill="auto"/>
            <w:vAlign w:val="center"/>
          </w:tcPr>
          <w:p w14:paraId="0CF9A575" w14:textId="77777777" w:rsidR="00312FC6" w:rsidRPr="004C4F6D" w:rsidRDefault="00312FC6" w:rsidP="004C4F6D">
            <w:pPr>
              <w:widowControl w:val="0"/>
              <w:spacing w:after="0" w:line="240" w:lineRule="auto"/>
              <w:rPr>
                <w:rFonts w:ascii="Arial" w:eastAsia="Arial Narrow" w:hAnsi="Arial" w:cs="Arial"/>
                <w:color w:val="000000"/>
                <w:sz w:val="20"/>
                <w:szCs w:val="20"/>
              </w:rPr>
            </w:pPr>
          </w:p>
        </w:tc>
        <w:tc>
          <w:tcPr>
            <w:tcW w:w="1417" w:type="dxa"/>
            <w:tcBorders>
              <w:top w:val="single" w:sz="4" w:space="0" w:color="auto"/>
              <w:bottom w:val="single" w:sz="4" w:space="0" w:color="auto"/>
            </w:tcBorders>
            <w:shd w:val="clear" w:color="auto" w:fill="auto"/>
            <w:vAlign w:val="center"/>
          </w:tcPr>
          <w:p w14:paraId="604D3419" w14:textId="77777777" w:rsidR="00312FC6" w:rsidRPr="004C4F6D" w:rsidRDefault="003919DE" w:rsidP="004C4F6D">
            <w:pPr>
              <w:spacing w:after="0" w:line="240" w:lineRule="auto"/>
              <w:jc w:val="center"/>
              <w:rPr>
                <w:rFonts w:ascii="Arial" w:eastAsia="Arial Narrow" w:hAnsi="Arial" w:cs="Arial"/>
                <w:b/>
                <w:color w:val="000000"/>
                <w:sz w:val="20"/>
                <w:szCs w:val="20"/>
              </w:rPr>
            </w:pPr>
            <w:r w:rsidRPr="004C4F6D">
              <w:rPr>
                <w:rFonts w:ascii="Arial" w:eastAsia="Arial Narrow" w:hAnsi="Arial" w:cs="Arial"/>
                <w:b/>
                <w:i/>
                <w:color w:val="000000"/>
                <w:sz w:val="20"/>
                <w:szCs w:val="20"/>
              </w:rPr>
              <w:t xml:space="preserve"> MONTHS</w:t>
            </w:r>
          </w:p>
        </w:tc>
        <w:tc>
          <w:tcPr>
            <w:tcW w:w="1134" w:type="dxa"/>
            <w:tcBorders>
              <w:top w:val="single" w:sz="4" w:space="0" w:color="auto"/>
              <w:bottom w:val="single" w:sz="4" w:space="0" w:color="auto"/>
            </w:tcBorders>
            <w:shd w:val="clear" w:color="auto" w:fill="auto"/>
            <w:vAlign w:val="center"/>
          </w:tcPr>
          <w:p w14:paraId="0CD47E93" w14:textId="77777777" w:rsidR="00312FC6" w:rsidRPr="004C4F6D" w:rsidRDefault="003919DE" w:rsidP="004C4F6D">
            <w:pPr>
              <w:spacing w:after="0" w:line="240" w:lineRule="auto"/>
              <w:jc w:val="center"/>
              <w:rPr>
                <w:rFonts w:ascii="Arial" w:eastAsia="Arial Narrow" w:hAnsi="Arial" w:cs="Arial"/>
                <w:b/>
                <w:color w:val="000000"/>
                <w:sz w:val="20"/>
                <w:szCs w:val="20"/>
              </w:rPr>
            </w:pPr>
            <w:r w:rsidRPr="004C4F6D">
              <w:rPr>
                <w:rFonts w:ascii="Arial" w:eastAsia="Arial Narrow" w:hAnsi="Arial" w:cs="Arial"/>
                <w:b/>
                <w:i/>
                <w:color w:val="000000"/>
                <w:sz w:val="20"/>
                <w:szCs w:val="20"/>
              </w:rPr>
              <w:t xml:space="preserve"> YEARS </w:t>
            </w:r>
          </w:p>
        </w:tc>
        <w:tc>
          <w:tcPr>
            <w:tcW w:w="1706" w:type="dxa"/>
            <w:vMerge/>
            <w:tcBorders>
              <w:top w:val="single" w:sz="4" w:space="0" w:color="auto"/>
              <w:left w:val="nil"/>
              <w:bottom w:val="single" w:sz="4" w:space="0" w:color="auto"/>
            </w:tcBorders>
            <w:shd w:val="clear" w:color="auto" w:fill="auto"/>
            <w:vAlign w:val="center"/>
          </w:tcPr>
          <w:p w14:paraId="4F08788F" w14:textId="77777777" w:rsidR="00312FC6" w:rsidRPr="004C4F6D" w:rsidRDefault="00312FC6" w:rsidP="004C4F6D">
            <w:pPr>
              <w:widowControl w:val="0"/>
              <w:spacing w:after="0" w:line="240" w:lineRule="auto"/>
              <w:rPr>
                <w:rFonts w:ascii="Arial" w:eastAsia="Arial Narrow" w:hAnsi="Arial" w:cs="Arial"/>
                <w:color w:val="000000"/>
                <w:sz w:val="20"/>
                <w:szCs w:val="20"/>
              </w:rPr>
            </w:pPr>
          </w:p>
        </w:tc>
      </w:tr>
      <w:tr w:rsidR="00312FC6" w:rsidRPr="004C4F6D" w14:paraId="1C777EB1" w14:textId="77777777">
        <w:trPr>
          <w:trHeight w:val="299"/>
        </w:trPr>
        <w:tc>
          <w:tcPr>
            <w:tcW w:w="5812" w:type="dxa"/>
            <w:gridSpan w:val="3"/>
            <w:tcBorders>
              <w:top w:val="single" w:sz="4" w:space="0" w:color="auto"/>
              <w:left w:val="nil"/>
              <w:bottom w:val="single" w:sz="4" w:space="0" w:color="auto"/>
              <w:right w:val="nil"/>
            </w:tcBorders>
            <w:shd w:val="clear" w:color="auto" w:fill="auto"/>
            <w:vAlign w:val="center"/>
          </w:tcPr>
          <w:p w14:paraId="66FEF0AB"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b/>
                <w:color w:val="000000"/>
                <w:sz w:val="20"/>
                <w:szCs w:val="20"/>
              </w:rPr>
              <w:t>Marginal Deposit on Domestic Letters of Credit</w:t>
            </w:r>
          </w:p>
        </w:tc>
        <w:tc>
          <w:tcPr>
            <w:tcW w:w="1134" w:type="dxa"/>
            <w:tcBorders>
              <w:top w:val="single" w:sz="4" w:space="0" w:color="auto"/>
              <w:left w:val="nil"/>
              <w:bottom w:val="single" w:sz="4" w:space="0" w:color="auto"/>
              <w:right w:val="nil"/>
            </w:tcBorders>
            <w:shd w:val="clear" w:color="auto" w:fill="auto"/>
            <w:vAlign w:val="center"/>
          </w:tcPr>
          <w:p w14:paraId="5D63C17C"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i/>
                <w:color w:val="000000"/>
                <w:sz w:val="20"/>
                <w:szCs w:val="20"/>
              </w:rPr>
              <w:t> </w:t>
            </w:r>
          </w:p>
        </w:tc>
        <w:tc>
          <w:tcPr>
            <w:tcW w:w="1706" w:type="dxa"/>
            <w:tcBorders>
              <w:top w:val="single" w:sz="4" w:space="0" w:color="auto"/>
              <w:left w:val="nil"/>
              <w:bottom w:val="single" w:sz="4" w:space="0" w:color="auto"/>
              <w:right w:val="nil"/>
            </w:tcBorders>
            <w:shd w:val="clear" w:color="auto" w:fill="auto"/>
            <w:vAlign w:val="center"/>
          </w:tcPr>
          <w:p w14:paraId="5702AB6E"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b/>
                <w:color w:val="000000"/>
                <w:sz w:val="20"/>
                <w:szCs w:val="20"/>
              </w:rPr>
              <w:t> </w:t>
            </w:r>
          </w:p>
        </w:tc>
      </w:tr>
      <w:tr w:rsidR="00312FC6" w:rsidRPr="004C4F6D" w14:paraId="42B0839A" w14:textId="77777777">
        <w:trPr>
          <w:trHeight w:val="202"/>
        </w:trPr>
        <w:tc>
          <w:tcPr>
            <w:tcW w:w="3402" w:type="dxa"/>
            <w:tcBorders>
              <w:top w:val="nil"/>
              <w:left w:val="nil"/>
              <w:bottom w:val="nil"/>
              <w:right w:val="nil"/>
            </w:tcBorders>
            <w:shd w:val="clear" w:color="auto" w:fill="auto"/>
            <w:vAlign w:val="center"/>
          </w:tcPr>
          <w:p w14:paraId="2F441D13"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 xml:space="preserve">Department of National Defense / Armed Forces of the Philippines </w:t>
            </w:r>
          </w:p>
        </w:tc>
        <w:tc>
          <w:tcPr>
            <w:tcW w:w="993" w:type="dxa"/>
            <w:tcBorders>
              <w:top w:val="nil"/>
              <w:left w:val="nil"/>
              <w:bottom w:val="nil"/>
              <w:right w:val="nil"/>
            </w:tcBorders>
            <w:shd w:val="clear" w:color="auto" w:fill="auto"/>
          </w:tcPr>
          <w:p w14:paraId="631C3466" w14:textId="77777777" w:rsidR="00312FC6" w:rsidRPr="004C4F6D" w:rsidRDefault="00312FC6" w:rsidP="004C4F6D">
            <w:pPr>
              <w:spacing w:after="0" w:line="240" w:lineRule="auto"/>
              <w:jc w:val="center"/>
              <w:rPr>
                <w:rFonts w:ascii="Arial" w:eastAsia="Arial Narrow" w:hAnsi="Arial" w:cs="Arial"/>
                <w:color w:val="000000"/>
                <w:sz w:val="20"/>
                <w:szCs w:val="20"/>
              </w:rPr>
            </w:pPr>
          </w:p>
          <w:p w14:paraId="4C13065E"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2</w:t>
            </w:r>
          </w:p>
        </w:tc>
        <w:tc>
          <w:tcPr>
            <w:tcW w:w="1417" w:type="dxa"/>
            <w:tcBorders>
              <w:top w:val="nil"/>
              <w:left w:val="nil"/>
              <w:bottom w:val="nil"/>
              <w:right w:val="nil"/>
            </w:tcBorders>
            <w:shd w:val="clear" w:color="auto" w:fill="auto"/>
          </w:tcPr>
          <w:p w14:paraId="10E831C6"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36CA2271"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20.33-41.20</w:t>
            </w:r>
          </w:p>
        </w:tc>
        <w:tc>
          <w:tcPr>
            <w:tcW w:w="1134" w:type="dxa"/>
            <w:tcBorders>
              <w:top w:val="nil"/>
              <w:left w:val="nil"/>
              <w:bottom w:val="nil"/>
              <w:right w:val="nil"/>
            </w:tcBorders>
            <w:shd w:val="clear" w:color="auto" w:fill="auto"/>
            <w:vAlign w:val="center"/>
          </w:tcPr>
          <w:p w14:paraId="039814A8"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7C5D2F12"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1.67-3.39</w:t>
            </w:r>
          </w:p>
        </w:tc>
        <w:tc>
          <w:tcPr>
            <w:tcW w:w="1706" w:type="dxa"/>
            <w:tcBorders>
              <w:top w:val="nil"/>
              <w:left w:val="nil"/>
              <w:bottom w:val="nil"/>
              <w:right w:val="nil"/>
            </w:tcBorders>
            <w:shd w:val="clear" w:color="auto" w:fill="auto"/>
            <w:vAlign w:val="center"/>
          </w:tcPr>
          <w:p w14:paraId="1DE3AEAA"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65,444,393.02 </w:t>
            </w:r>
          </w:p>
        </w:tc>
      </w:tr>
      <w:tr w:rsidR="00312FC6" w:rsidRPr="004C4F6D" w14:paraId="10DDBBD5" w14:textId="77777777">
        <w:trPr>
          <w:trHeight w:val="202"/>
        </w:trPr>
        <w:tc>
          <w:tcPr>
            <w:tcW w:w="3402" w:type="dxa"/>
            <w:tcBorders>
              <w:top w:val="nil"/>
              <w:left w:val="nil"/>
              <w:bottom w:val="nil"/>
              <w:right w:val="nil"/>
            </w:tcBorders>
            <w:shd w:val="clear" w:color="auto" w:fill="auto"/>
            <w:vAlign w:val="center"/>
          </w:tcPr>
          <w:p w14:paraId="08B58E9B"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 xml:space="preserve">Armed Forces of the Philippines </w:t>
            </w:r>
          </w:p>
        </w:tc>
        <w:tc>
          <w:tcPr>
            <w:tcW w:w="993" w:type="dxa"/>
            <w:tcBorders>
              <w:top w:val="nil"/>
              <w:left w:val="nil"/>
              <w:bottom w:val="nil"/>
              <w:right w:val="nil"/>
            </w:tcBorders>
            <w:shd w:val="clear" w:color="auto" w:fill="auto"/>
          </w:tcPr>
          <w:p w14:paraId="382C73C0"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1</w:t>
            </w:r>
          </w:p>
        </w:tc>
        <w:tc>
          <w:tcPr>
            <w:tcW w:w="1417" w:type="dxa"/>
            <w:tcBorders>
              <w:top w:val="nil"/>
              <w:left w:val="nil"/>
              <w:bottom w:val="nil"/>
              <w:right w:val="nil"/>
            </w:tcBorders>
            <w:shd w:val="clear" w:color="auto" w:fill="auto"/>
          </w:tcPr>
          <w:p w14:paraId="1C61635F"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24.33</w:t>
            </w:r>
          </w:p>
        </w:tc>
        <w:tc>
          <w:tcPr>
            <w:tcW w:w="1134" w:type="dxa"/>
            <w:tcBorders>
              <w:top w:val="nil"/>
              <w:left w:val="nil"/>
              <w:bottom w:val="nil"/>
              <w:right w:val="nil"/>
            </w:tcBorders>
            <w:shd w:val="clear" w:color="auto" w:fill="auto"/>
            <w:vAlign w:val="center"/>
          </w:tcPr>
          <w:p w14:paraId="5F2DE616"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2.00</w:t>
            </w:r>
          </w:p>
        </w:tc>
        <w:tc>
          <w:tcPr>
            <w:tcW w:w="1706" w:type="dxa"/>
            <w:tcBorders>
              <w:top w:val="nil"/>
              <w:left w:val="nil"/>
              <w:bottom w:val="nil"/>
              <w:right w:val="nil"/>
            </w:tcBorders>
            <w:shd w:val="clear" w:color="auto" w:fill="auto"/>
            <w:vAlign w:val="center"/>
          </w:tcPr>
          <w:p w14:paraId="7EE0CB21"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9,488,578.02 </w:t>
            </w:r>
          </w:p>
        </w:tc>
      </w:tr>
      <w:tr w:rsidR="00312FC6" w:rsidRPr="004C4F6D" w14:paraId="19D4BE9D" w14:textId="77777777">
        <w:trPr>
          <w:trHeight w:val="202"/>
        </w:trPr>
        <w:tc>
          <w:tcPr>
            <w:tcW w:w="3402" w:type="dxa"/>
            <w:tcBorders>
              <w:top w:val="single" w:sz="4" w:space="0" w:color="000000"/>
              <w:left w:val="nil"/>
              <w:bottom w:val="single" w:sz="4" w:space="0" w:color="000000"/>
              <w:right w:val="nil"/>
            </w:tcBorders>
            <w:shd w:val="clear" w:color="auto" w:fill="auto"/>
            <w:vAlign w:val="center"/>
          </w:tcPr>
          <w:p w14:paraId="257BA42F" w14:textId="28183D2D" w:rsidR="00312FC6" w:rsidRPr="004C4F6D" w:rsidRDefault="00DD70FC" w:rsidP="004C4F6D">
            <w:pPr>
              <w:spacing w:after="0" w:line="240" w:lineRule="auto"/>
              <w:rPr>
                <w:rFonts w:ascii="Arial" w:eastAsia="Arial Narrow" w:hAnsi="Arial" w:cs="Arial"/>
                <w:b/>
                <w:color w:val="000000"/>
                <w:sz w:val="20"/>
                <w:szCs w:val="20"/>
              </w:rPr>
            </w:pPr>
            <w:r w:rsidRPr="004C4F6D">
              <w:rPr>
                <w:rFonts w:ascii="Arial" w:eastAsia="Arial Narrow" w:hAnsi="Arial" w:cs="Arial"/>
                <w:b/>
                <w:color w:val="000000"/>
                <w:sz w:val="20"/>
                <w:szCs w:val="20"/>
              </w:rPr>
              <w:t>Sub-</w:t>
            </w:r>
            <w:r w:rsidR="003919DE" w:rsidRPr="004C4F6D">
              <w:rPr>
                <w:rFonts w:ascii="Arial" w:eastAsia="Arial Narrow" w:hAnsi="Arial" w:cs="Arial"/>
                <w:b/>
                <w:color w:val="000000"/>
                <w:sz w:val="20"/>
                <w:szCs w:val="20"/>
              </w:rPr>
              <w:t xml:space="preserve">Total </w:t>
            </w:r>
          </w:p>
        </w:tc>
        <w:tc>
          <w:tcPr>
            <w:tcW w:w="993" w:type="dxa"/>
            <w:tcBorders>
              <w:top w:val="single" w:sz="4" w:space="0" w:color="000000"/>
              <w:left w:val="nil"/>
              <w:bottom w:val="single" w:sz="4" w:space="0" w:color="000000"/>
              <w:right w:val="nil"/>
            </w:tcBorders>
            <w:shd w:val="clear" w:color="auto" w:fill="auto"/>
            <w:vAlign w:val="center"/>
          </w:tcPr>
          <w:p w14:paraId="135675B2" w14:textId="77777777" w:rsidR="00312FC6" w:rsidRPr="004C4F6D" w:rsidRDefault="003919DE" w:rsidP="004C4F6D">
            <w:pPr>
              <w:spacing w:after="0" w:line="240" w:lineRule="auto"/>
              <w:jc w:val="center"/>
              <w:rPr>
                <w:rFonts w:ascii="Arial" w:eastAsia="Arial Narrow" w:hAnsi="Arial" w:cs="Arial"/>
                <w:b/>
                <w:bCs/>
                <w:color w:val="000000"/>
                <w:sz w:val="20"/>
                <w:szCs w:val="20"/>
              </w:rPr>
            </w:pPr>
            <w:r w:rsidRPr="004C4F6D">
              <w:rPr>
                <w:rFonts w:ascii="Arial" w:eastAsia="Arial Narrow" w:hAnsi="Arial" w:cs="Arial"/>
                <w:b/>
                <w:bCs/>
                <w:color w:val="000000"/>
                <w:sz w:val="20"/>
                <w:szCs w:val="20"/>
              </w:rPr>
              <w:t> 3</w:t>
            </w:r>
          </w:p>
        </w:tc>
        <w:tc>
          <w:tcPr>
            <w:tcW w:w="1417" w:type="dxa"/>
            <w:tcBorders>
              <w:top w:val="single" w:sz="4" w:space="0" w:color="000000"/>
              <w:left w:val="nil"/>
              <w:bottom w:val="single" w:sz="4" w:space="0" w:color="000000"/>
              <w:right w:val="nil"/>
            </w:tcBorders>
            <w:shd w:val="clear" w:color="auto" w:fill="auto"/>
          </w:tcPr>
          <w:p w14:paraId="76EDE03D" w14:textId="77777777" w:rsidR="00312FC6" w:rsidRPr="004C4F6D" w:rsidRDefault="00312FC6" w:rsidP="004C4F6D">
            <w:pPr>
              <w:spacing w:after="0" w:line="240" w:lineRule="auto"/>
              <w:jc w:val="right"/>
              <w:rPr>
                <w:rFonts w:ascii="Arial" w:eastAsia="Arial Narrow" w:hAnsi="Arial" w:cs="Arial"/>
                <w:color w:val="000000"/>
                <w:sz w:val="20"/>
                <w:szCs w:val="20"/>
              </w:rPr>
            </w:pPr>
          </w:p>
        </w:tc>
        <w:tc>
          <w:tcPr>
            <w:tcW w:w="1134" w:type="dxa"/>
            <w:tcBorders>
              <w:top w:val="single" w:sz="4" w:space="0" w:color="000000"/>
              <w:left w:val="nil"/>
              <w:bottom w:val="single" w:sz="4" w:space="0" w:color="000000"/>
              <w:right w:val="nil"/>
            </w:tcBorders>
            <w:shd w:val="clear" w:color="auto" w:fill="auto"/>
            <w:vAlign w:val="center"/>
          </w:tcPr>
          <w:p w14:paraId="1EC0754E" w14:textId="77777777" w:rsidR="00312FC6" w:rsidRPr="004C4F6D" w:rsidRDefault="00312FC6" w:rsidP="004C4F6D">
            <w:pPr>
              <w:spacing w:after="0" w:line="240" w:lineRule="auto"/>
              <w:jc w:val="right"/>
              <w:rPr>
                <w:rFonts w:ascii="Arial" w:eastAsia="Arial Narrow" w:hAnsi="Arial" w:cs="Arial"/>
                <w:color w:val="000000"/>
                <w:sz w:val="20"/>
                <w:szCs w:val="20"/>
              </w:rPr>
            </w:pPr>
          </w:p>
        </w:tc>
        <w:tc>
          <w:tcPr>
            <w:tcW w:w="1706" w:type="dxa"/>
            <w:tcBorders>
              <w:top w:val="single" w:sz="4" w:space="0" w:color="000000"/>
              <w:left w:val="nil"/>
              <w:bottom w:val="single" w:sz="4" w:space="0" w:color="000000"/>
              <w:right w:val="nil"/>
            </w:tcBorders>
            <w:shd w:val="clear" w:color="auto" w:fill="auto"/>
            <w:vAlign w:val="center"/>
          </w:tcPr>
          <w:p w14:paraId="5860EF9A"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b/>
                <w:color w:val="000000"/>
                <w:sz w:val="20"/>
                <w:szCs w:val="20"/>
              </w:rPr>
              <w:t>74,932,971.04</w:t>
            </w:r>
          </w:p>
        </w:tc>
      </w:tr>
      <w:tr w:rsidR="00312FC6" w:rsidRPr="004C4F6D" w14:paraId="5F99B128" w14:textId="77777777">
        <w:trPr>
          <w:trHeight w:val="202"/>
        </w:trPr>
        <w:tc>
          <w:tcPr>
            <w:tcW w:w="3402" w:type="dxa"/>
            <w:tcBorders>
              <w:top w:val="nil"/>
              <w:left w:val="nil"/>
              <w:bottom w:val="single" w:sz="4" w:space="0" w:color="000000"/>
              <w:right w:val="nil"/>
            </w:tcBorders>
            <w:shd w:val="clear" w:color="auto" w:fill="auto"/>
            <w:vAlign w:val="center"/>
          </w:tcPr>
          <w:p w14:paraId="11A15472"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b/>
                <w:color w:val="000000"/>
                <w:sz w:val="20"/>
                <w:szCs w:val="20"/>
              </w:rPr>
              <w:t>Cash Letters of Credit - Foreign</w:t>
            </w:r>
          </w:p>
        </w:tc>
        <w:tc>
          <w:tcPr>
            <w:tcW w:w="993" w:type="dxa"/>
            <w:tcBorders>
              <w:top w:val="nil"/>
              <w:left w:val="nil"/>
              <w:bottom w:val="single" w:sz="4" w:space="0" w:color="000000"/>
              <w:right w:val="nil"/>
            </w:tcBorders>
            <w:shd w:val="clear" w:color="auto" w:fill="auto"/>
            <w:vAlign w:val="center"/>
          </w:tcPr>
          <w:p w14:paraId="753150DC"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 </w:t>
            </w:r>
          </w:p>
        </w:tc>
        <w:tc>
          <w:tcPr>
            <w:tcW w:w="1417" w:type="dxa"/>
            <w:tcBorders>
              <w:top w:val="nil"/>
              <w:left w:val="nil"/>
              <w:bottom w:val="single" w:sz="4" w:space="0" w:color="000000"/>
              <w:right w:val="nil"/>
            </w:tcBorders>
            <w:shd w:val="clear" w:color="auto" w:fill="auto"/>
          </w:tcPr>
          <w:p w14:paraId="7FF7F1A4" w14:textId="77777777" w:rsidR="00312FC6" w:rsidRPr="004C4F6D" w:rsidRDefault="00312FC6" w:rsidP="004C4F6D">
            <w:pPr>
              <w:spacing w:after="0" w:line="240" w:lineRule="auto"/>
              <w:jc w:val="right"/>
              <w:rPr>
                <w:rFonts w:ascii="Arial" w:eastAsia="Arial Narrow" w:hAnsi="Arial" w:cs="Arial"/>
                <w:color w:val="000000"/>
                <w:sz w:val="20"/>
                <w:szCs w:val="20"/>
              </w:rPr>
            </w:pPr>
          </w:p>
        </w:tc>
        <w:tc>
          <w:tcPr>
            <w:tcW w:w="1134" w:type="dxa"/>
            <w:tcBorders>
              <w:top w:val="nil"/>
              <w:left w:val="nil"/>
              <w:bottom w:val="single" w:sz="4" w:space="0" w:color="000000"/>
              <w:right w:val="nil"/>
            </w:tcBorders>
            <w:shd w:val="clear" w:color="auto" w:fill="auto"/>
            <w:vAlign w:val="center"/>
          </w:tcPr>
          <w:p w14:paraId="65FE2C2B" w14:textId="77777777" w:rsidR="00312FC6" w:rsidRPr="004C4F6D" w:rsidRDefault="00312FC6" w:rsidP="004C4F6D">
            <w:pPr>
              <w:spacing w:after="0" w:line="240" w:lineRule="auto"/>
              <w:jc w:val="right"/>
              <w:rPr>
                <w:rFonts w:ascii="Arial" w:eastAsia="Arial Narrow" w:hAnsi="Arial" w:cs="Arial"/>
                <w:color w:val="000000"/>
                <w:sz w:val="20"/>
                <w:szCs w:val="20"/>
              </w:rPr>
            </w:pPr>
          </w:p>
        </w:tc>
        <w:tc>
          <w:tcPr>
            <w:tcW w:w="1706" w:type="dxa"/>
            <w:tcBorders>
              <w:top w:val="nil"/>
              <w:left w:val="nil"/>
              <w:bottom w:val="single" w:sz="4" w:space="0" w:color="000000"/>
              <w:right w:val="nil"/>
            </w:tcBorders>
            <w:shd w:val="clear" w:color="auto" w:fill="auto"/>
            <w:vAlign w:val="center"/>
          </w:tcPr>
          <w:p w14:paraId="62F156BE"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w:t>
            </w:r>
          </w:p>
        </w:tc>
      </w:tr>
      <w:tr w:rsidR="00312FC6" w:rsidRPr="004C4F6D" w14:paraId="6598DBF0" w14:textId="77777777">
        <w:trPr>
          <w:trHeight w:val="94"/>
        </w:trPr>
        <w:tc>
          <w:tcPr>
            <w:tcW w:w="3402" w:type="dxa"/>
            <w:tcBorders>
              <w:top w:val="nil"/>
              <w:left w:val="nil"/>
              <w:bottom w:val="nil"/>
              <w:right w:val="nil"/>
            </w:tcBorders>
            <w:shd w:val="clear" w:color="auto" w:fill="auto"/>
            <w:vAlign w:val="center"/>
          </w:tcPr>
          <w:p w14:paraId="262E2838"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Department of National Defense / Armed Forces of the Philippines</w:t>
            </w:r>
          </w:p>
        </w:tc>
        <w:tc>
          <w:tcPr>
            <w:tcW w:w="993" w:type="dxa"/>
            <w:tcBorders>
              <w:top w:val="nil"/>
              <w:left w:val="nil"/>
              <w:bottom w:val="nil"/>
              <w:right w:val="nil"/>
            </w:tcBorders>
            <w:shd w:val="clear" w:color="auto" w:fill="auto"/>
          </w:tcPr>
          <w:p w14:paraId="53C9BA45" w14:textId="77777777" w:rsidR="00312FC6" w:rsidRPr="004C4F6D" w:rsidRDefault="00312FC6" w:rsidP="004C4F6D">
            <w:pPr>
              <w:spacing w:after="0" w:line="240" w:lineRule="auto"/>
              <w:jc w:val="center"/>
              <w:rPr>
                <w:rFonts w:ascii="Arial" w:eastAsia="Arial Narrow" w:hAnsi="Arial" w:cs="Arial"/>
                <w:color w:val="000000"/>
                <w:sz w:val="20"/>
                <w:szCs w:val="20"/>
              </w:rPr>
            </w:pPr>
          </w:p>
          <w:p w14:paraId="7CFBBF4E"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4</w:t>
            </w:r>
          </w:p>
        </w:tc>
        <w:tc>
          <w:tcPr>
            <w:tcW w:w="1417" w:type="dxa"/>
            <w:tcBorders>
              <w:top w:val="nil"/>
              <w:left w:val="nil"/>
              <w:bottom w:val="nil"/>
              <w:right w:val="nil"/>
            </w:tcBorders>
            <w:shd w:val="clear" w:color="auto" w:fill="auto"/>
          </w:tcPr>
          <w:p w14:paraId="60E71629"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1C4A026E"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13.20-25.37</w:t>
            </w:r>
          </w:p>
        </w:tc>
        <w:tc>
          <w:tcPr>
            <w:tcW w:w="1134" w:type="dxa"/>
            <w:tcBorders>
              <w:top w:val="nil"/>
              <w:left w:val="nil"/>
              <w:bottom w:val="nil"/>
              <w:right w:val="nil"/>
            </w:tcBorders>
            <w:shd w:val="clear" w:color="auto" w:fill="auto"/>
            <w:vAlign w:val="center"/>
          </w:tcPr>
          <w:p w14:paraId="5E4C0023"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24AE382D"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1.08-2.08</w:t>
            </w:r>
          </w:p>
        </w:tc>
        <w:tc>
          <w:tcPr>
            <w:tcW w:w="1706" w:type="dxa"/>
            <w:tcBorders>
              <w:top w:val="nil"/>
              <w:left w:val="nil"/>
              <w:bottom w:val="nil"/>
              <w:right w:val="nil"/>
            </w:tcBorders>
            <w:shd w:val="clear" w:color="auto" w:fill="auto"/>
            <w:vAlign w:val="center"/>
          </w:tcPr>
          <w:p w14:paraId="4AADDAAF"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w:t>
            </w:r>
          </w:p>
          <w:p w14:paraId="0AAB383B"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323,385.26 </w:t>
            </w:r>
          </w:p>
        </w:tc>
      </w:tr>
      <w:tr w:rsidR="00312FC6" w:rsidRPr="004C4F6D" w14:paraId="28A1C9A4" w14:textId="77777777">
        <w:trPr>
          <w:trHeight w:val="202"/>
        </w:trPr>
        <w:tc>
          <w:tcPr>
            <w:tcW w:w="3402" w:type="dxa"/>
            <w:tcBorders>
              <w:top w:val="nil"/>
              <w:left w:val="nil"/>
              <w:bottom w:val="nil"/>
              <w:right w:val="nil"/>
            </w:tcBorders>
            <w:shd w:val="clear" w:color="auto" w:fill="auto"/>
            <w:vAlign w:val="center"/>
          </w:tcPr>
          <w:p w14:paraId="343A8258"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Philippine Air Force</w:t>
            </w:r>
          </w:p>
        </w:tc>
        <w:tc>
          <w:tcPr>
            <w:tcW w:w="993" w:type="dxa"/>
            <w:tcBorders>
              <w:top w:val="nil"/>
              <w:left w:val="nil"/>
              <w:bottom w:val="nil"/>
              <w:right w:val="nil"/>
            </w:tcBorders>
            <w:shd w:val="clear" w:color="auto" w:fill="auto"/>
          </w:tcPr>
          <w:p w14:paraId="43A742FC"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7</w:t>
            </w:r>
          </w:p>
        </w:tc>
        <w:tc>
          <w:tcPr>
            <w:tcW w:w="1417" w:type="dxa"/>
            <w:tcBorders>
              <w:top w:val="nil"/>
              <w:left w:val="nil"/>
              <w:bottom w:val="nil"/>
              <w:right w:val="nil"/>
            </w:tcBorders>
            <w:shd w:val="clear" w:color="auto" w:fill="auto"/>
          </w:tcPr>
          <w:p w14:paraId="02C18F4C"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6.70-36.37</w:t>
            </w:r>
          </w:p>
        </w:tc>
        <w:tc>
          <w:tcPr>
            <w:tcW w:w="1134" w:type="dxa"/>
            <w:tcBorders>
              <w:top w:val="nil"/>
              <w:left w:val="nil"/>
              <w:bottom w:val="nil"/>
              <w:right w:val="nil"/>
            </w:tcBorders>
            <w:shd w:val="clear" w:color="auto" w:fill="auto"/>
            <w:vAlign w:val="center"/>
          </w:tcPr>
          <w:p w14:paraId="56A3109A"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0.55-2.99</w:t>
            </w:r>
          </w:p>
        </w:tc>
        <w:tc>
          <w:tcPr>
            <w:tcW w:w="1706" w:type="dxa"/>
            <w:tcBorders>
              <w:top w:val="nil"/>
              <w:left w:val="nil"/>
              <w:bottom w:val="nil"/>
              <w:right w:val="nil"/>
            </w:tcBorders>
            <w:shd w:val="clear" w:color="auto" w:fill="auto"/>
            <w:vAlign w:val="center"/>
          </w:tcPr>
          <w:p w14:paraId="48C0D46A"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20,786,586.65 </w:t>
            </w:r>
          </w:p>
        </w:tc>
      </w:tr>
      <w:tr w:rsidR="00312FC6" w:rsidRPr="004C4F6D" w14:paraId="08313418" w14:textId="77777777">
        <w:trPr>
          <w:trHeight w:val="202"/>
        </w:trPr>
        <w:tc>
          <w:tcPr>
            <w:tcW w:w="3402" w:type="dxa"/>
            <w:tcBorders>
              <w:top w:val="nil"/>
              <w:left w:val="nil"/>
              <w:bottom w:val="nil"/>
              <w:right w:val="nil"/>
            </w:tcBorders>
            <w:shd w:val="clear" w:color="auto" w:fill="auto"/>
            <w:vAlign w:val="center"/>
          </w:tcPr>
          <w:p w14:paraId="61C157F7"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Philippine Army</w:t>
            </w:r>
          </w:p>
        </w:tc>
        <w:tc>
          <w:tcPr>
            <w:tcW w:w="993" w:type="dxa"/>
            <w:tcBorders>
              <w:top w:val="nil"/>
              <w:left w:val="nil"/>
              <w:bottom w:val="nil"/>
              <w:right w:val="nil"/>
            </w:tcBorders>
            <w:shd w:val="clear" w:color="auto" w:fill="auto"/>
          </w:tcPr>
          <w:p w14:paraId="51589232"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12</w:t>
            </w:r>
          </w:p>
        </w:tc>
        <w:tc>
          <w:tcPr>
            <w:tcW w:w="1417" w:type="dxa"/>
            <w:tcBorders>
              <w:top w:val="nil"/>
              <w:left w:val="nil"/>
              <w:bottom w:val="nil"/>
              <w:right w:val="nil"/>
            </w:tcBorders>
            <w:shd w:val="clear" w:color="auto" w:fill="auto"/>
          </w:tcPr>
          <w:p w14:paraId="4DED5E7B"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6.13-36.17</w:t>
            </w:r>
          </w:p>
        </w:tc>
        <w:tc>
          <w:tcPr>
            <w:tcW w:w="1134" w:type="dxa"/>
            <w:tcBorders>
              <w:top w:val="nil"/>
              <w:left w:val="nil"/>
              <w:bottom w:val="nil"/>
              <w:right w:val="nil"/>
            </w:tcBorders>
            <w:shd w:val="clear" w:color="auto" w:fill="auto"/>
            <w:vAlign w:val="center"/>
          </w:tcPr>
          <w:p w14:paraId="264E781E"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0.50-2.97</w:t>
            </w:r>
          </w:p>
        </w:tc>
        <w:tc>
          <w:tcPr>
            <w:tcW w:w="1706" w:type="dxa"/>
            <w:tcBorders>
              <w:top w:val="nil"/>
              <w:left w:val="nil"/>
              <w:bottom w:val="nil"/>
              <w:right w:val="nil"/>
            </w:tcBorders>
            <w:shd w:val="clear" w:color="auto" w:fill="auto"/>
            <w:vAlign w:val="center"/>
          </w:tcPr>
          <w:p w14:paraId="2B62CBCD"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1,958,036.00 </w:t>
            </w:r>
          </w:p>
        </w:tc>
      </w:tr>
      <w:tr w:rsidR="00312FC6" w:rsidRPr="004C4F6D" w14:paraId="07A83CD3" w14:textId="77777777">
        <w:trPr>
          <w:trHeight w:val="202"/>
        </w:trPr>
        <w:tc>
          <w:tcPr>
            <w:tcW w:w="3402" w:type="dxa"/>
            <w:tcBorders>
              <w:top w:val="nil"/>
              <w:left w:val="nil"/>
              <w:bottom w:val="nil"/>
              <w:right w:val="nil"/>
            </w:tcBorders>
            <w:shd w:val="clear" w:color="auto" w:fill="auto"/>
            <w:vAlign w:val="center"/>
          </w:tcPr>
          <w:p w14:paraId="62A82E2B"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Philippine Navy</w:t>
            </w:r>
          </w:p>
        </w:tc>
        <w:tc>
          <w:tcPr>
            <w:tcW w:w="993" w:type="dxa"/>
            <w:tcBorders>
              <w:top w:val="nil"/>
              <w:left w:val="nil"/>
              <w:bottom w:val="nil"/>
              <w:right w:val="nil"/>
            </w:tcBorders>
            <w:shd w:val="clear" w:color="auto" w:fill="auto"/>
          </w:tcPr>
          <w:p w14:paraId="69002353"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1</w:t>
            </w:r>
          </w:p>
        </w:tc>
        <w:tc>
          <w:tcPr>
            <w:tcW w:w="1417" w:type="dxa"/>
            <w:tcBorders>
              <w:top w:val="nil"/>
              <w:left w:val="nil"/>
              <w:bottom w:val="nil"/>
              <w:right w:val="nil"/>
            </w:tcBorders>
            <w:shd w:val="clear" w:color="auto" w:fill="auto"/>
          </w:tcPr>
          <w:p w14:paraId="45582315"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6.13</w:t>
            </w:r>
          </w:p>
        </w:tc>
        <w:tc>
          <w:tcPr>
            <w:tcW w:w="1134" w:type="dxa"/>
            <w:tcBorders>
              <w:top w:val="nil"/>
              <w:left w:val="nil"/>
              <w:bottom w:val="nil"/>
              <w:right w:val="nil"/>
            </w:tcBorders>
            <w:shd w:val="clear" w:color="auto" w:fill="auto"/>
            <w:vAlign w:val="center"/>
          </w:tcPr>
          <w:p w14:paraId="6146C71A"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0.50</w:t>
            </w:r>
          </w:p>
        </w:tc>
        <w:tc>
          <w:tcPr>
            <w:tcW w:w="1706" w:type="dxa"/>
            <w:tcBorders>
              <w:top w:val="nil"/>
              <w:left w:val="nil"/>
              <w:bottom w:val="nil"/>
              <w:right w:val="nil"/>
            </w:tcBorders>
            <w:shd w:val="clear" w:color="auto" w:fill="auto"/>
            <w:vAlign w:val="center"/>
          </w:tcPr>
          <w:p w14:paraId="73510E8D"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287,557.86 </w:t>
            </w:r>
          </w:p>
        </w:tc>
      </w:tr>
      <w:tr w:rsidR="00312FC6" w:rsidRPr="004C4F6D" w14:paraId="2B435276" w14:textId="77777777">
        <w:trPr>
          <w:trHeight w:val="269"/>
        </w:trPr>
        <w:tc>
          <w:tcPr>
            <w:tcW w:w="3402" w:type="dxa"/>
            <w:tcBorders>
              <w:top w:val="nil"/>
              <w:left w:val="nil"/>
              <w:bottom w:val="nil"/>
              <w:right w:val="nil"/>
            </w:tcBorders>
            <w:shd w:val="clear" w:color="auto" w:fill="auto"/>
            <w:vAlign w:val="center"/>
          </w:tcPr>
          <w:p w14:paraId="5C321908"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*Government Arsenal / Department of National Defense</w:t>
            </w:r>
          </w:p>
        </w:tc>
        <w:tc>
          <w:tcPr>
            <w:tcW w:w="993" w:type="dxa"/>
            <w:tcBorders>
              <w:top w:val="nil"/>
              <w:left w:val="nil"/>
              <w:bottom w:val="nil"/>
              <w:right w:val="nil"/>
            </w:tcBorders>
            <w:shd w:val="clear" w:color="auto" w:fill="auto"/>
          </w:tcPr>
          <w:p w14:paraId="08F73275" w14:textId="77777777" w:rsidR="00312FC6" w:rsidRPr="004C4F6D" w:rsidRDefault="00312FC6" w:rsidP="004C4F6D">
            <w:pPr>
              <w:spacing w:after="0" w:line="240" w:lineRule="auto"/>
              <w:jc w:val="center"/>
              <w:rPr>
                <w:rFonts w:ascii="Arial" w:eastAsia="Arial Narrow" w:hAnsi="Arial" w:cs="Arial"/>
                <w:color w:val="000000"/>
                <w:sz w:val="20"/>
                <w:szCs w:val="20"/>
              </w:rPr>
            </w:pPr>
          </w:p>
          <w:p w14:paraId="0E577139"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1</w:t>
            </w:r>
          </w:p>
        </w:tc>
        <w:tc>
          <w:tcPr>
            <w:tcW w:w="1417" w:type="dxa"/>
            <w:tcBorders>
              <w:top w:val="nil"/>
              <w:left w:val="nil"/>
              <w:bottom w:val="nil"/>
              <w:right w:val="nil"/>
            </w:tcBorders>
            <w:shd w:val="clear" w:color="auto" w:fill="auto"/>
          </w:tcPr>
          <w:p w14:paraId="4B9F4C75"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3944F98C"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78.20</w:t>
            </w:r>
          </w:p>
        </w:tc>
        <w:tc>
          <w:tcPr>
            <w:tcW w:w="1134" w:type="dxa"/>
            <w:tcBorders>
              <w:top w:val="nil"/>
              <w:left w:val="nil"/>
              <w:bottom w:val="nil"/>
              <w:right w:val="nil"/>
            </w:tcBorders>
            <w:shd w:val="clear" w:color="auto" w:fill="auto"/>
            <w:vAlign w:val="center"/>
          </w:tcPr>
          <w:p w14:paraId="26264FEB"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26D4BEF8"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6.43</w:t>
            </w:r>
          </w:p>
        </w:tc>
        <w:tc>
          <w:tcPr>
            <w:tcW w:w="1706" w:type="dxa"/>
            <w:tcBorders>
              <w:top w:val="nil"/>
              <w:left w:val="nil"/>
              <w:bottom w:val="nil"/>
              <w:right w:val="nil"/>
            </w:tcBorders>
            <w:shd w:val="clear" w:color="auto" w:fill="auto"/>
            <w:vAlign w:val="center"/>
          </w:tcPr>
          <w:p w14:paraId="4AAEE657"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w:t>
            </w:r>
          </w:p>
          <w:p w14:paraId="32C784ED"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87.25 </w:t>
            </w:r>
          </w:p>
        </w:tc>
      </w:tr>
      <w:tr w:rsidR="00312FC6" w:rsidRPr="004C4F6D" w14:paraId="54DB4CE3" w14:textId="77777777">
        <w:trPr>
          <w:trHeight w:val="202"/>
        </w:trPr>
        <w:tc>
          <w:tcPr>
            <w:tcW w:w="3402" w:type="dxa"/>
            <w:tcBorders>
              <w:top w:val="nil"/>
              <w:left w:val="nil"/>
              <w:bottom w:val="nil"/>
              <w:right w:val="nil"/>
            </w:tcBorders>
            <w:shd w:val="clear" w:color="auto" w:fill="auto"/>
            <w:vAlign w:val="center"/>
          </w:tcPr>
          <w:p w14:paraId="50BF54F4"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*Procurement Service Department of Budget and Management</w:t>
            </w:r>
          </w:p>
        </w:tc>
        <w:tc>
          <w:tcPr>
            <w:tcW w:w="993" w:type="dxa"/>
            <w:tcBorders>
              <w:top w:val="nil"/>
              <w:left w:val="nil"/>
              <w:bottom w:val="nil"/>
              <w:right w:val="nil"/>
            </w:tcBorders>
            <w:shd w:val="clear" w:color="auto" w:fill="auto"/>
          </w:tcPr>
          <w:p w14:paraId="572AF78B" w14:textId="77777777" w:rsidR="00312FC6" w:rsidRPr="004C4F6D" w:rsidRDefault="00312FC6" w:rsidP="004C4F6D">
            <w:pPr>
              <w:spacing w:after="0" w:line="240" w:lineRule="auto"/>
              <w:jc w:val="center"/>
              <w:rPr>
                <w:rFonts w:ascii="Arial" w:eastAsia="Arial Narrow" w:hAnsi="Arial" w:cs="Arial"/>
                <w:color w:val="000000"/>
                <w:sz w:val="20"/>
                <w:szCs w:val="20"/>
              </w:rPr>
            </w:pPr>
          </w:p>
          <w:p w14:paraId="266786B5"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1</w:t>
            </w:r>
          </w:p>
        </w:tc>
        <w:tc>
          <w:tcPr>
            <w:tcW w:w="1417" w:type="dxa"/>
            <w:tcBorders>
              <w:top w:val="nil"/>
              <w:left w:val="nil"/>
              <w:bottom w:val="nil"/>
              <w:right w:val="nil"/>
            </w:tcBorders>
            <w:shd w:val="clear" w:color="auto" w:fill="auto"/>
          </w:tcPr>
          <w:p w14:paraId="6CA7A737"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76C6E489"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65.27</w:t>
            </w:r>
          </w:p>
        </w:tc>
        <w:tc>
          <w:tcPr>
            <w:tcW w:w="1134" w:type="dxa"/>
            <w:tcBorders>
              <w:top w:val="nil"/>
              <w:left w:val="nil"/>
              <w:bottom w:val="nil"/>
              <w:right w:val="nil"/>
            </w:tcBorders>
            <w:shd w:val="clear" w:color="auto" w:fill="auto"/>
            <w:vAlign w:val="center"/>
          </w:tcPr>
          <w:p w14:paraId="473A49D7"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222F9081"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5.36</w:t>
            </w:r>
          </w:p>
        </w:tc>
        <w:tc>
          <w:tcPr>
            <w:tcW w:w="1706" w:type="dxa"/>
            <w:tcBorders>
              <w:top w:val="nil"/>
              <w:left w:val="nil"/>
              <w:bottom w:val="nil"/>
              <w:right w:val="nil"/>
            </w:tcBorders>
            <w:shd w:val="clear" w:color="auto" w:fill="auto"/>
            <w:vAlign w:val="center"/>
          </w:tcPr>
          <w:p w14:paraId="15C75EB6"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w:t>
            </w:r>
          </w:p>
          <w:p w14:paraId="1C892849"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72,608.11 </w:t>
            </w:r>
          </w:p>
        </w:tc>
      </w:tr>
      <w:tr w:rsidR="00312FC6" w:rsidRPr="004C4F6D" w14:paraId="56C1109F" w14:textId="77777777">
        <w:trPr>
          <w:trHeight w:val="293"/>
        </w:trPr>
        <w:tc>
          <w:tcPr>
            <w:tcW w:w="3402" w:type="dxa"/>
            <w:tcBorders>
              <w:top w:val="nil"/>
              <w:left w:val="nil"/>
              <w:bottom w:val="nil"/>
              <w:right w:val="nil"/>
            </w:tcBorders>
            <w:shd w:val="clear" w:color="auto" w:fill="auto"/>
            <w:vAlign w:val="center"/>
          </w:tcPr>
          <w:p w14:paraId="7C218E88" w14:textId="77777777" w:rsidR="00312FC6" w:rsidRPr="004C4F6D" w:rsidRDefault="003919DE" w:rsidP="004C4F6D">
            <w:pPr>
              <w:spacing w:after="0" w:line="240" w:lineRule="auto"/>
              <w:rPr>
                <w:rFonts w:ascii="Arial" w:eastAsia="Arial Narrow" w:hAnsi="Arial" w:cs="Arial"/>
                <w:color w:val="000000"/>
                <w:sz w:val="20"/>
                <w:szCs w:val="20"/>
              </w:rPr>
            </w:pPr>
            <w:r w:rsidRPr="004C4F6D">
              <w:rPr>
                <w:rFonts w:ascii="Arial" w:eastAsia="Arial Narrow" w:hAnsi="Arial" w:cs="Arial"/>
                <w:color w:val="000000"/>
                <w:sz w:val="20"/>
                <w:szCs w:val="20"/>
              </w:rPr>
              <w:t>Philippine International Trading Corporation FAO Philippine Army</w:t>
            </w:r>
          </w:p>
        </w:tc>
        <w:tc>
          <w:tcPr>
            <w:tcW w:w="993" w:type="dxa"/>
            <w:tcBorders>
              <w:top w:val="nil"/>
              <w:left w:val="nil"/>
              <w:bottom w:val="nil"/>
              <w:right w:val="nil"/>
            </w:tcBorders>
            <w:shd w:val="clear" w:color="auto" w:fill="auto"/>
          </w:tcPr>
          <w:p w14:paraId="2E65F117" w14:textId="77777777" w:rsidR="00312FC6" w:rsidRPr="004C4F6D" w:rsidRDefault="00312FC6" w:rsidP="004C4F6D">
            <w:pPr>
              <w:spacing w:after="0" w:line="240" w:lineRule="auto"/>
              <w:jc w:val="center"/>
              <w:rPr>
                <w:rFonts w:ascii="Arial" w:eastAsia="Arial Narrow" w:hAnsi="Arial" w:cs="Arial"/>
                <w:color w:val="000000"/>
                <w:sz w:val="20"/>
                <w:szCs w:val="20"/>
              </w:rPr>
            </w:pPr>
          </w:p>
          <w:p w14:paraId="17DED899"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5</w:t>
            </w:r>
          </w:p>
        </w:tc>
        <w:tc>
          <w:tcPr>
            <w:tcW w:w="1417" w:type="dxa"/>
            <w:tcBorders>
              <w:top w:val="nil"/>
              <w:left w:val="nil"/>
              <w:bottom w:val="nil"/>
              <w:right w:val="nil"/>
            </w:tcBorders>
            <w:shd w:val="clear" w:color="auto" w:fill="auto"/>
          </w:tcPr>
          <w:p w14:paraId="5B2825DF"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2E41B002"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9.20-29.47</w:t>
            </w:r>
          </w:p>
        </w:tc>
        <w:tc>
          <w:tcPr>
            <w:tcW w:w="1134" w:type="dxa"/>
            <w:tcBorders>
              <w:top w:val="nil"/>
              <w:left w:val="nil"/>
              <w:bottom w:val="nil"/>
              <w:right w:val="nil"/>
            </w:tcBorders>
            <w:shd w:val="clear" w:color="auto" w:fill="auto"/>
            <w:vAlign w:val="center"/>
          </w:tcPr>
          <w:p w14:paraId="290A07F5" w14:textId="77777777" w:rsidR="00312FC6" w:rsidRPr="004C4F6D" w:rsidRDefault="00312FC6" w:rsidP="004C4F6D">
            <w:pPr>
              <w:spacing w:after="0" w:line="240" w:lineRule="auto"/>
              <w:jc w:val="right"/>
              <w:rPr>
                <w:rFonts w:ascii="Arial" w:eastAsia="Arial Narrow" w:hAnsi="Arial" w:cs="Arial"/>
                <w:color w:val="000000"/>
                <w:sz w:val="20"/>
                <w:szCs w:val="20"/>
              </w:rPr>
            </w:pPr>
          </w:p>
          <w:p w14:paraId="00E00392" w14:textId="00712720" w:rsidR="00312FC6" w:rsidRPr="004C4F6D" w:rsidRDefault="00E5504A" w:rsidP="004C4F6D">
            <w:pPr>
              <w:spacing w:after="0" w:line="240" w:lineRule="auto"/>
              <w:jc w:val="right"/>
              <w:rPr>
                <w:rFonts w:ascii="Arial" w:eastAsia="Arial Narrow" w:hAnsi="Arial" w:cs="Arial"/>
                <w:color w:val="000000"/>
                <w:sz w:val="20"/>
                <w:szCs w:val="20"/>
              </w:rPr>
            </w:pPr>
            <w:r>
              <w:rPr>
                <w:rFonts w:ascii="Arial" w:eastAsia="Arial Narrow" w:hAnsi="Arial" w:cs="Arial"/>
                <w:color w:val="000000"/>
                <w:sz w:val="20"/>
                <w:szCs w:val="20"/>
              </w:rPr>
              <w:t>0</w:t>
            </w:r>
            <w:r w:rsidR="003919DE" w:rsidRPr="004C4F6D">
              <w:rPr>
                <w:rFonts w:ascii="Arial" w:eastAsia="Arial Narrow" w:hAnsi="Arial" w:cs="Arial"/>
                <w:color w:val="000000"/>
                <w:sz w:val="20"/>
                <w:szCs w:val="20"/>
              </w:rPr>
              <w:t>.76-2.42</w:t>
            </w:r>
          </w:p>
        </w:tc>
        <w:tc>
          <w:tcPr>
            <w:tcW w:w="1706" w:type="dxa"/>
            <w:tcBorders>
              <w:top w:val="nil"/>
              <w:left w:val="nil"/>
              <w:bottom w:val="nil"/>
              <w:right w:val="nil"/>
            </w:tcBorders>
            <w:shd w:val="clear" w:color="auto" w:fill="auto"/>
            <w:vAlign w:val="center"/>
          </w:tcPr>
          <w:p w14:paraId="2CF5A90B"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 </w:t>
            </w:r>
          </w:p>
          <w:p w14:paraId="6762DCE4"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color w:val="000000"/>
                <w:sz w:val="20"/>
                <w:szCs w:val="20"/>
              </w:rPr>
              <w:t xml:space="preserve">1,162,334.20 </w:t>
            </w:r>
          </w:p>
        </w:tc>
      </w:tr>
      <w:tr w:rsidR="00312FC6" w:rsidRPr="004C4F6D" w14:paraId="1EEB795F" w14:textId="77777777" w:rsidTr="002F1504">
        <w:trPr>
          <w:trHeight w:val="196"/>
        </w:trPr>
        <w:tc>
          <w:tcPr>
            <w:tcW w:w="3402" w:type="dxa"/>
            <w:tcBorders>
              <w:top w:val="single" w:sz="4" w:space="0" w:color="000000"/>
              <w:left w:val="nil"/>
              <w:bottom w:val="single" w:sz="4" w:space="0" w:color="000000"/>
              <w:right w:val="nil"/>
            </w:tcBorders>
            <w:shd w:val="clear" w:color="auto" w:fill="auto"/>
          </w:tcPr>
          <w:p w14:paraId="47A79A99" w14:textId="44EFA53D" w:rsidR="00312FC6" w:rsidRPr="004C4F6D" w:rsidRDefault="00DD70FC" w:rsidP="004C4F6D">
            <w:pPr>
              <w:spacing w:after="0" w:line="240" w:lineRule="auto"/>
              <w:rPr>
                <w:rFonts w:ascii="Arial" w:eastAsia="Arial Narrow" w:hAnsi="Arial" w:cs="Arial"/>
                <w:b/>
                <w:color w:val="000000"/>
                <w:sz w:val="20"/>
                <w:szCs w:val="20"/>
              </w:rPr>
            </w:pPr>
            <w:r w:rsidRPr="004C4F6D">
              <w:rPr>
                <w:rFonts w:ascii="Arial" w:eastAsia="Arial Narrow" w:hAnsi="Arial" w:cs="Arial"/>
                <w:b/>
                <w:color w:val="000000"/>
                <w:sz w:val="20"/>
                <w:szCs w:val="20"/>
              </w:rPr>
              <w:t>Sub-</w:t>
            </w:r>
            <w:r w:rsidR="003919DE" w:rsidRPr="004C4F6D">
              <w:rPr>
                <w:rFonts w:ascii="Arial" w:eastAsia="Arial Narrow" w:hAnsi="Arial" w:cs="Arial"/>
                <w:b/>
                <w:color w:val="000000"/>
                <w:sz w:val="20"/>
                <w:szCs w:val="20"/>
              </w:rPr>
              <w:t xml:space="preserve">Total </w:t>
            </w:r>
          </w:p>
        </w:tc>
        <w:tc>
          <w:tcPr>
            <w:tcW w:w="993" w:type="dxa"/>
            <w:tcBorders>
              <w:top w:val="single" w:sz="4" w:space="0" w:color="000000"/>
              <w:left w:val="nil"/>
              <w:bottom w:val="single" w:sz="4" w:space="0" w:color="000000"/>
              <w:right w:val="nil"/>
            </w:tcBorders>
            <w:shd w:val="clear" w:color="auto" w:fill="auto"/>
          </w:tcPr>
          <w:p w14:paraId="03E2BC92" w14:textId="34973529" w:rsidR="00312FC6" w:rsidRPr="004C4F6D" w:rsidRDefault="003919DE" w:rsidP="004C4F6D">
            <w:pPr>
              <w:spacing w:after="0" w:line="240" w:lineRule="auto"/>
              <w:jc w:val="center"/>
              <w:rPr>
                <w:rFonts w:ascii="Arial" w:eastAsia="Arial Narrow" w:hAnsi="Arial" w:cs="Arial"/>
                <w:b/>
                <w:bCs/>
                <w:color w:val="000000"/>
                <w:sz w:val="20"/>
                <w:szCs w:val="20"/>
              </w:rPr>
            </w:pPr>
            <w:r w:rsidRPr="004C4F6D">
              <w:rPr>
                <w:rFonts w:ascii="Arial" w:eastAsia="Arial Narrow" w:hAnsi="Arial" w:cs="Arial"/>
                <w:b/>
                <w:bCs/>
                <w:color w:val="000000"/>
                <w:sz w:val="20"/>
                <w:szCs w:val="20"/>
              </w:rPr>
              <w:t>31</w:t>
            </w:r>
          </w:p>
        </w:tc>
        <w:tc>
          <w:tcPr>
            <w:tcW w:w="1417" w:type="dxa"/>
            <w:tcBorders>
              <w:top w:val="single" w:sz="4" w:space="0" w:color="000000"/>
              <w:left w:val="nil"/>
              <w:bottom w:val="single" w:sz="4" w:space="0" w:color="000000"/>
              <w:right w:val="nil"/>
            </w:tcBorders>
            <w:shd w:val="clear" w:color="auto" w:fill="auto"/>
          </w:tcPr>
          <w:p w14:paraId="2C68F07A"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 </w:t>
            </w:r>
          </w:p>
        </w:tc>
        <w:tc>
          <w:tcPr>
            <w:tcW w:w="1134" w:type="dxa"/>
            <w:tcBorders>
              <w:top w:val="single" w:sz="4" w:space="0" w:color="000000"/>
              <w:left w:val="nil"/>
              <w:bottom w:val="single" w:sz="4" w:space="0" w:color="000000"/>
              <w:right w:val="nil"/>
            </w:tcBorders>
            <w:shd w:val="clear" w:color="auto" w:fill="auto"/>
            <w:vAlign w:val="center"/>
          </w:tcPr>
          <w:p w14:paraId="50DE3E14" w14:textId="77777777" w:rsidR="00312FC6" w:rsidRPr="004C4F6D" w:rsidRDefault="003919DE" w:rsidP="004C4F6D">
            <w:pPr>
              <w:spacing w:after="0" w:line="240" w:lineRule="auto"/>
              <w:jc w:val="center"/>
              <w:rPr>
                <w:rFonts w:ascii="Arial" w:eastAsia="Arial Narrow" w:hAnsi="Arial" w:cs="Arial"/>
                <w:color w:val="000000"/>
                <w:sz w:val="20"/>
                <w:szCs w:val="20"/>
              </w:rPr>
            </w:pPr>
            <w:r w:rsidRPr="004C4F6D">
              <w:rPr>
                <w:rFonts w:ascii="Arial" w:eastAsia="Arial Narrow" w:hAnsi="Arial" w:cs="Arial"/>
                <w:color w:val="000000"/>
                <w:sz w:val="20"/>
                <w:szCs w:val="20"/>
              </w:rPr>
              <w:t> </w:t>
            </w:r>
          </w:p>
        </w:tc>
        <w:tc>
          <w:tcPr>
            <w:tcW w:w="1706" w:type="dxa"/>
            <w:tcBorders>
              <w:top w:val="single" w:sz="4" w:space="0" w:color="000000"/>
              <w:left w:val="nil"/>
              <w:bottom w:val="single" w:sz="4" w:space="0" w:color="000000"/>
              <w:right w:val="nil"/>
            </w:tcBorders>
            <w:shd w:val="clear" w:color="auto" w:fill="auto"/>
          </w:tcPr>
          <w:p w14:paraId="79006339" w14:textId="38A2F059"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b/>
                <w:color w:val="000000"/>
                <w:sz w:val="20"/>
                <w:szCs w:val="20"/>
              </w:rPr>
              <w:t xml:space="preserve">  24,590,595.33</w:t>
            </w:r>
          </w:p>
        </w:tc>
      </w:tr>
      <w:tr w:rsidR="00312FC6" w:rsidRPr="004C4F6D" w14:paraId="2D95B94D" w14:textId="77777777">
        <w:trPr>
          <w:trHeight w:val="202"/>
        </w:trPr>
        <w:tc>
          <w:tcPr>
            <w:tcW w:w="3402" w:type="dxa"/>
            <w:tcBorders>
              <w:top w:val="single" w:sz="4" w:space="0" w:color="000000"/>
              <w:left w:val="nil"/>
              <w:bottom w:val="double" w:sz="4" w:space="0" w:color="000000"/>
              <w:right w:val="nil"/>
            </w:tcBorders>
            <w:shd w:val="clear" w:color="auto" w:fill="auto"/>
            <w:vAlign w:val="center"/>
          </w:tcPr>
          <w:p w14:paraId="4A9BE822" w14:textId="77777777" w:rsidR="00312FC6" w:rsidRPr="004C4F6D" w:rsidRDefault="003919DE" w:rsidP="004C4F6D">
            <w:pPr>
              <w:spacing w:after="0" w:line="240" w:lineRule="auto"/>
              <w:rPr>
                <w:rFonts w:ascii="Arial" w:eastAsia="Arial Narrow" w:hAnsi="Arial" w:cs="Arial"/>
                <w:b/>
                <w:color w:val="000000"/>
                <w:sz w:val="20"/>
                <w:szCs w:val="20"/>
              </w:rPr>
            </w:pPr>
            <w:r w:rsidRPr="004C4F6D">
              <w:rPr>
                <w:rFonts w:ascii="Arial" w:eastAsia="Arial Narrow" w:hAnsi="Arial" w:cs="Arial"/>
                <w:b/>
                <w:color w:val="000000"/>
                <w:sz w:val="20"/>
                <w:szCs w:val="20"/>
              </w:rPr>
              <w:t>Grand Total</w:t>
            </w:r>
          </w:p>
        </w:tc>
        <w:tc>
          <w:tcPr>
            <w:tcW w:w="993" w:type="dxa"/>
            <w:tcBorders>
              <w:top w:val="single" w:sz="4" w:space="0" w:color="000000"/>
              <w:left w:val="nil"/>
              <w:bottom w:val="double" w:sz="4" w:space="0" w:color="000000"/>
              <w:right w:val="nil"/>
            </w:tcBorders>
            <w:shd w:val="clear" w:color="auto" w:fill="auto"/>
            <w:vAlign w:val="center"/>
          </w:tcPr>
          <w:p w14:paraId="5A254A26" w14:textId="77777777" w:rsidR="00312FC6" w:rsidRPr="004C4F6D" w:rsidRDefault="003919DE" w:rsidP="004C4F6D">
            <w:pPr>
              <w:spacing w:after="0" w:line="240" w:lineRule="auto"/>
              <w:jc w:val="center"/>
              <w:rPr>
                <w:rFonts w:ascii="Arial" w:eastAsia="Arial Narrow" w:hAnsi="Arial" w:cs="Arial"/>
                <w:b/>
                <w:bCs/>
                <w:color w:val="000000"/>
                <w:sz w:val="20"/>
                <w:szCs w:val="20"/>
              </w:rPr>
            </w:pPr>
            <w:r w:rsidRPr="004C4F6D">
              <w:rPr>
                <w:rFonts w:ascii="Arial" w:eastAsia="Arial Narrow" w:hAnsi="Arial" w:cs="Arial"/>
                <w:b/>
                <w:bCs/>
                <w:color w:val="000000"/>
                <w:sz w:val="20"/>
                <w:szCs w:val="20"/>
              </w:rPr>
              <w:t>34</w:t>
            </w:r>
          </w:p>
        </w:tc>
        <w:tc>
          <w:tcPr>
            <w:tcW w:w="1417" w:type="dxa"/>
            <w:tcBorders>
              <w:top w:val="single" w:sz="4" w:space="0" w:color="000000"/>
              <w:left w:val="nil"/>
              <w:bottom w:val="double" w:sz="4" w:space="0" w:color="000000"/>
              <w:right w:val="nil"/>
            </w:tcBorders>
            <w:shd w:val="clear" w:color="auto" w:fill="auto"/>
          </w:tcPr>
          <w:p w14:paraId="639A7FED" w14:textId="77777777" w:rsidR="00312FC6" w:rsidRPr="004C4F6D" w:rsidRDefault="00312FC6" w:rsidP="004C4F6D">
            <w:pPr>
              <w:spacing w:after="0" w:line="240" w:lineRule="auto"/>
              <w:jc w:val="center"/>
              <w:rPr>
                <w:rFonts w:ascii="Arial" w:eastAsia="Arial Narrow" w:hAnsi="Arial" w:cs="Arial"/>
                <w:color w:val="000000"/>
                <w:sz w:val="20"/>
                <w:szCs w:val="20"/>
              </w:rPr>
            </w:pPr>
          </w:p>
        </w:tc>
        <w:tc>
          <w:tcPr>
            <w:tcW w:w="1134" w:type="dxa"/>
            <w:tcBorders>
              <w:top w:val="single" w:sz="4" w:space="0" w:color="000000"/>
              <w:left w:val="nil"/>
              <w:bottom w:val="double" w:sz="4" w:space="0" w:color="000000"/>
              <w:right w:val="nil"/>
            </w:tcBorders>
            <w:shd w:val="clear" w:color="auto" w:fill="auto"/>
            <w:vAlign w:val="center"/>
          </w:tcPr>
          <w:p w14:paraId="392A850F" w14:textId="77777777" w:rsidR="00312FC6" w:rsidRPr="004C4F6D" w:rsidRDefault="00312FC6" w:rsidP="004C4F6D">
            <w:pPr>
              <w:spacing w:after="0" w:line="240" w:lineRule="auto"/>
              <w:jc w:val="center"/>
              <w:rPr>
                <w:rFonts w:ascii="Arial" w:eastAsia="Arial Narrow" w:hAnsi="Arial" w:cs="Arial"/>
                <w:color w:val="000000"/>
                <w:sz w:val="20"/>
                <w:szCs w:val="20"/>
              </w:rPr>
            </w:pPr>
          </w:p>
        </w:tc>
        <w:tc>
          <w:tcPr>
            <w:tcW w:w="1706" w:type="dxa"/>
            <w:tcBorders>
              <w:top w:val="single" w:sz="4" w:space="0" w:color="000000"/>
              <w:left w:val="nil"/>
              <w:bottom w:val="double" w:sz="4" w:space="0" w:color="000000"/>
              <w:right w:val="nil"/>
            </w:tcBorders>
            <w:shd w:val="clear" w:color="auto" w:fill="auto"/>
            <w:vAlign w:val="center"/>
          </w:tcPr>
          <w:p w14:paraId="2F3F61BF" w14:textId="77777777" w:rsidR="00312FC6" w:rsidRPr="004C4F6D" w:rsidRDefault="003919DE" w:rsidP="004C4F6D">
            <w:pPr>
              <w:spacing w:after="0" w:line="240" w:lineRule="auto"/>
              <w:jc w:val="right"/>
              <w:rPr>
                <w:rFonts w:ascii="Arial" w:eastAsia="Arial Narrow" w:hAnsi="Arial" w:cs="Arial"/>
                <w:color w:val="000000"/>
                <w:sz w:val="20"/>
                <w:szCs w:val="20"/>
              </w:rPr>
            </w:pPr>
            <w:r w:rsidRPr="004C4F6D">
              <w:rPr>
                <w:rFonts w:ascii="Arial" w:eastAsia="Arial Narrow" w:hAnsi="Arial" w:cs="Arial"/>
                <w:b/>
                <w:color w:val="000000"/>
                <w:sz w:val="20"/>
                <w:szCs w:val="20"/>
              </w:rPr>
              <w:t>99,523,566.37</w:t>
            </w:r>
          </w:p>
        </w:tc>
      </w:tr>
    </w:tbl>
    <w:p w14:paraId="63F27B70" w14:textId="77777777" w:rsidR="00312FC6" w:rsidRPr="004C4F6D" w:rsidRDefault="003919DE" w:rsidP="004C4F6D">
      <w:pPr>
        <w:pStyle w:val="ListParagraph"/>
        <w:spacing w:after="0" w:line="240" w:lineRule="auto"/>
        <w:ind w:left="0" w:right="133"/>
        <w:jc w:val="both"/>
        <w:rPr>
          <w:rFonts w:ascii="Arial" w:eastAsia="Arial Narrow" w:hAnsi="Arial" w:cs="Arial"/>
          <w:sz w:val="16"/>
          <w:szCs w:val="16"/>
        </w:rPr>
      </w:pPr>
      <w:r w:rsidRPr="004C4F6D">
        <w:rPr>
          <w:rFonts w:ascii="Arial" w:eastAsia="Arial Narrow" w:hAnsi="Arial" w:cs="Arial"/>
          <w:sz w:val="16"/>
          <w:szCs w:val="16"/>
        </w:rPr>
        <w:t>*UCPB</w:t>
      </w:r>
    </w:p>
    <w:p w14:paraId="687667EE"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217DF30C" w14:textId="74718A3F" w:rsidR="00312FC6" w:rsidRPr="004C4F6D" w:rsidRDefault="003919DE" w:rsidP="004C4F6D">
      <w:pPr>
        <w:pStyle w:val="ListParagraph"/>
        <w:numPr>
          <w:ilvl w:val="2"/>
          <w:numId w:val="35"/>
        </w:numPr>
        <w:autoSpaceDE w:val="0"/>
        <w:autoSpaceDN w:val="0"/>
        <w:adjustRightInd w:val="0"/>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Management</w:t>
      </w:r>
      <w:r w:rsidRPr="004C4F6D">
        <w:rPr>
          <w:rFonts w:ascii="Arial" w:eastAsia="Arial Narrow" w:hAnsi="Arial" w:cs="Arial"/>
          <w:color w:val="000000"/>
          <w:lang w:eastAsia="en-PH"/>
        </w:rPr>
        <w:t xml:space="preserve"> explained that LBP had entered into a Memorandum of Agreement (MOA) with the Department of National Defense-Armed Forces of the Philippines (DND-AFP), Philippine Air Force, Philippine Army, and Philippine Navy. Paragraph F.6 of the MOA provides:</w:t>
      </w:r>
    </w:p>
    <w:p w14:paraId="77E1E82D" w14:textId="77777777" w:rsidR="00312FC6" w:rsidRPr="004C4F6D" w:rsidRDefault="003919DE" w:rsidP="004C4F6D">
      <w:pPr>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ab/>
      </w:r>
      <w:r w:rsidRPr="004C4F6D">
        <w:rPr>
          <w:rFonts w:ascii="Arial" w:eastAsia="Arial Narrow" w:hAnsi="Arial" w:cs="Arial"/>
          <w:color w:val="000000"/>
          <w:lang w:eastAsia="en-PH"/>
        </w:rPr>
        <w:tab/>
      </w:r>
    </w:p>
    <w:p w14:paraId="6AAA3BCF" w14:textId="22CE12CD" w:rsidR="00FB148C" w:rsidRPr="004C4F6D" w:rsidRDefault="003919DE" w:rsidP="004C4F6D">
      <w:pPr>
        <w:spacing w:after="0" w:line="240" w:lineRule="auto"/>
        <w:ind w:left="720" w:right="805"/>
        <w:jc w:val="both"/>
        <w:rPr>
          <w:i/>
        </w:rPr>
      </w:pPr>
      <w:r w:rsidRPr="004C4F6D">
        <w:rPr>
          <w:rFonts w:ascii="Arial" w:eastAsia="Arial Narrow" w:hAnsi="Arial" w:cs="Arial"/>
          <w:i/>
          <w:color w:val="000000"/>
          <w:lang w:eastAsia="en-PH"/>
        </w:rPr>
        <w:t>In case of cancellation or expiration, LBP is obligated to refund any unutilized balance at the prevailing buying rate at the time of LC opening upon receipt of DND-AFP’s written request for cancellation,</w:t>
      </w:r>
      <w:r w:rsidRPr="004C4F6D">
        <w:rPr>
          <w:rFonts w:ascii="Arial" w:eastAsia="Arial Narrow" w:hAnsi="Arial" w:cs="Arial"/>
          <w:b/>
          <w:i/>
          <w:color w:val="000000"/>
          <w:lang w:eastAsia="en-PH"/>
        </w:rPr>
        <w:t xml:space="preserve"> </w:t>
      </w:r>
      <w:r w:rsidRPr="004C4F6D">
        <w:rPr>
          <w:rFonts w:ascii="Arial" w:eastAsia="Arial Narrow" w:hAnsi="Arial" w:cs="Arial"/>
          <w:i/>
          <w:color w:val="000000"/>
          <w:lang w:eastAsia="en-PH"/>
        </w:rPr>
        <w:t>after deducting any fees or charges from the negotiation therefrom.</w:t>
      </w:r>
    </w:p>
    <w:p w14:paraId="092C9932" w14:textId="77777777" w:rsidR="00FB148C" w:rsidRPr="004C4F6D" w:rsidRDefault="00FB148C" w:rsidP="004C4F6D">
      <w:pPr>
        <w:pStyle w:val="ListParagraph"/>
        <w:autoSpaceDE w:val="0"/>
        <w:autoSpaceDN w:val="0"/>
        <w:adjustRightInd w:val="0"/>
        <w:spacing w:after="0" w:line="240" w:lineRule="auto"/>
        <w:ind w:left="0"/>
        <w:jc w:val="both"/>
        <w:rPr>
          <w:rFonts w:ascii="Arial" w:eastAsia="Arial Narrow" w:hAnsi="Arial" w:cs="Arial"/>
          <w:lang w:eastAsia="en-PH"/>
        </w:rPr>
      </w:pPr>
    </w:p>
    <w:p w14:paraId="36F997E2" w14:textId="30763001" w:rsidR="00312FC6" w:rsidRPr="004C4F6D" w:rsidRDefault="00FB148C" w:rsidP="004C4F6D">
      <w:pPr>
        <w:pStyle w:val="ListParagraph"/>
        <w:numPr>
          <w:ilvl w:val="2"/>
          <w:numId w:val="35"/>
        </w:numPr>
        <w:autoSpaceDE w:val="0"/>
        <w:autoSpaceDN w:val="0"/>
        <w:adjustRightInd w:val="0"/>
        <w:spacing w:after="0" w:line="240" w:lineRule="auto"/>
        <w:ind w:left="0" w:firstLine="0"/>
        <w:jc w:val="both"/>
        <w:rPr>
          <w:rFonts w:ascii="Arial" w:eastAsia="Arial Narrow" w:hAnsi="Arial" w:cs="Arial"/>
          <w:lang w:eastAsia="en-PH"/>
        </w:rPr>
      </w:pPr>
      <w:r w:rsidRPr="004C4F6D">
        <w:rPr>
          <w:rFonts w:ascii="Arial" w:eastAsia="Arial Narrow" w:hAnsi="Arial" w:cs="Arial"/>
          <w:color w:val="000000"/>
          <w:lang w:eastAsia="en-PH"/>
        </w:rPr>
        <w:lastRenderedPageBreak/>
        <w:t xml:space="preserve">Management added that, since LBP did not receive any written request for cancellation from the concerned NGAs, the expired LCs were neither cancelled nor refunded by the Bank.  </w:t>
      </w:r>
      <w:r w:rsidR="003919DE" w:rsidRPr="004C4F6D">
        <w:rPr>
          <w:rFonts w:ascii="Arial" w:eastAsia="Arial Narrow" w:hAnsi="Arial" w:cs="Arial"/>
          <w:color w:val="000000"/>
          <w:lang w:eastAsia="en-PH"/>
        </w:rPr>
        <w:t xml:space="preserve">However, it is our view that, in the case of said NGAs, LCs </w:t>
      </w:r>
      <w:r w:rsidR="009A6534" w:rsidRPr="004C4F6D">
        <w:rPr>
          <w:rFonts w:ascii="Arial" w:eastAsia="Arial Narrow" w:hAnsi="Arial" w:cs="Arial"/>
          <w:color w:val="000000"/>
          <w:lang w:eastAsia="en-PH"/>
        </w:rPr>
        <w:t>are</w:t>
      </w:r>
      <w:r w:rsidR="003919DE" w:rsidRPr="004C4F6D">
        <w:rPr>
          <w:rFonts w:ascii="Arial" w:eastAsia="Arial Narrow" w:hAnsi="Arial" w:cs="Arial"/>
          <w:color w:val="000000"/>
          <w:lang w:eastAsia="en-PH"/>
        </w:rPr>
        <w:t xml:space="preserve"> already expired and no longer valid, hence, cancellation is unwarranted. Thus, LCs not remitted to the BTr after six (6) months from their expiry is not in accordance with item </w:t>
      </w:r>
      <w:r w:rsidR="003919DE" w:rsidRPr="004C4F6D">
        <w:rPr>
          <w:rFonts w:ascii="Arial" w:eastAsia="Arial Narrow" w:hAnsi="Arial" w:cs="Arial"/>
          <w:lang w:eastAsia="en-PH"/>
        </w:rPr>
        <w:t>4.8 of TC No.3- 2019</w:t>
      </w:r>
      <w:r w:rsidR="007D0D53">
        <w:rPr>
          <w:rFonts w:ascii="Arial" w:eastAsia="Arial Narrow" w:hAnsi="Arial" w:cs="Arial"/>
          <w:lang w:eastAsia="en-PH"/>
        </w:rPr>
        <w:t>.</w:t>
      </w:r>
    </w:p>
    <w:p w14:paraId="214E2F40" w14:textId="77777777" w:rsidR="00312FC6" w:rsidRPr="004C4F6D" w:rsidRDefault="00312FC6" w:rsidP="004C4F6D">
      <w:pPr>
        <w:pStyle w:val="ListParagraph"/>
        <w:spacing w:after="0" w:line="240" w:lineRule="auto"/>
        <w:ind w:left="0"/>
        <w:jc w:val="both"/>
        <w:rPr>
          <w:rFonts w:ascii="Arial" w:eastAsia="Arial Narrow" w:hAnsi="Arial" w:cs="Arial"/>
          <w:lang w:eastAsia="en-PH"/>
        </w:rPr>
      </w:pPr>
    </w:p>
    <w:p w14:paraId="4F7760B9" w14:textId="24AA3FC1" w:rsidR="00312FC6" w:rsidRPr="004C4F6D" w:rsidRDefault="00FB148C"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lang w:eastAsia="en-PH"/>
        </w:rPr>
      </w:pPr>
      <w:r w:rsidRPr="004C4F6D">
        <w:rPr>
          <w:rFonts w:ascii="Arial" w:eastAsia="Arial Narrow" w:hAnsi="Arial" w:cs="Arial"/>
          <w:color w:val="000000"/>
          <w:lang w:eastAsia="en-PH"/>
        </w:rPr>
        <w:t>Further,</w:t>
      </w:r>
      <w:r w:rsidR="003919DE" w:rsidRPr="004C4F6D">
        <w:rPr>
          <w:rFonts w:ascii="Arial" w:eastAsia="Arial Narrow" w:hAnsi="Arial" w:cs="Arial"/>
          <w:color w:val="000000"/>
          <w:lang w:eastAsia="en-PH"/>
        </w:rPr>
        <w:t xml:space="preserve"> the Schedule of Accounts Payable–Government Entities (AP-GE) </w:t>
      </w:r>
      <w:r w:rsidR="00FF47DB" w:rsidRPr="004C4F6D">
        <w:rPr>
          <w:rFonts w:ascii="Arial" w:eastAsia="Arial Narrow" w:hAnsi="Arial" w:cs="Arial"/>
          <w:color w:val="000000"/>
          <w:lang w:eastAsia="en-PH"/>
        </w:rPr>
        <w:t xml:space="preserve">as of December 31, 2022 </w:t>
      </w:r>
      <w:r w:rsidR="003919DE" w:rsidRPr="004C4F6D">
        <w:rPr>
          <w:rFonts w:ascii="Arial" w:eastAsia="Arial Narrow" w:hAnsi="Arial" w:cs="Arial"/>
          <w:color w:val="000000"/>
          <w:lang w:eastAsia="en-PH"/>
        </w:rPr>
        <w:t xml:space="preserve">disclosed excess payments for LCs that have expired, which are long outstanding for 15 to 36 months or 3 years, </w:t>
      </w:r>
      <w:r w:rsidR="002805D4" w:rsidRPr="004C4F6D">
        <w:rPr>
          <w:rFonts w:ascii="Arial" w:eastAsia="Arial Narrow" w:hAnsi="Arial" w:cs="Arial"/>
          <w:color w:val="000000"/>
          <w:lang w:eastAsia="en-PH"/>
        </w:rPr>
        <w:t xml:space="preserve">which were not also </w:t>
      </w:r>
      <w:r w:rsidR="003919DE" w:rsidRPr="004C4F6D">
        <w:rPr>
          <w:rFonts w:ascii="Arial" w:eastAsia="Arial Narrow" w:hAnsi="Arial" w:cs="Arial"/>
          <w:color w:val="000000"/>
          <w:lang w:eastAsia="en-PH"/>
        </w:rPr>
        <w:t>remitted to the BTr as of December 31, 2022. Details are as follows:</w:t>
      </w:r>
    </w:p>
    <w:p w14:paraId="31C67512" w14:textId="77777777" w:rsidR="00312FC6" w:rsidRPr="004C4F6D" w:rsidRDefault="00312FC6" w:rsidP="004C4F6D">
      <w:pPr>
        <w:pStyle w:val="ListParagraph"/>
        <w:spacing w:after="0" w:line="240" w:lineRule="auto"/>
        <w:ind w:left="0" w:right="275"/>
        <w:jc w:val="both"/>
        <w:rPr>
          <w:rFonts w:ascii="Arial" w:eastAsia="Arial Narrow" w:hAnsi="Arial" w:cs="Arial"/>
          <w:lang w:eastAsia="en-PH"/>
        </w:rPr>
      </w:pPr>
    </w:p>
    <w:tbl>
      <w:tblPr>
        <w:tblW w:w="8632" w:type="dxa"/>
        <w:tblInd w:w="188" w:type="dxa"/>
        <w:tblLayout w:type="fixed"/>
        <w:tblLook w:val="04A0" w:firstRow="1" w:lastRow="0" w:firstColumn="1" w:lastColumn="0" w:noHBand="0" w:noVBand="1"/>
      </w:tblPr>
      <w:tblGrid>
        <w:gridCol w:w="1934"/>
        <w:gridCol w:w="850"/>
        <w:gridCol w:w="1276"/>
        <w:gridCol w:w="992"/>
        <w:gridCol w:w="1843"/>
        <w:gridCol w:w="1737"/>
      </w:tblGrid>
      <w:tr w:rsidR="00312FC6" w:rsidRPr="004C4F6D" w14:paraId="161A4897" w14:textId="77777777" w:rsidTr="002F1504">
        <w:trPr>
          <w:cantSplit/>
          <w:trHeight w:val="459"/>
          <w:tblHeader/>
        </w:trPr>
        <w:tc>
          <w:tcPr>
            <w:tcW w:w="1934" w:type="dxa"/>
            <w:vMerge w:val="restart"/>
            <w:tcBorders>
              <w:top w:val="single" w:sz="4" w:space="0" w:color="auto"/>
            </w:tcBorders>
            <w:shd w:val="clear" w:color="auto" w:fill="auto"/>
            <w:vAlign w:val="center"/>
          </w:tcPr>
          <w:p w14:paraId="2586018B"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NATIONAL GOVERNMENT AGENCIES</w:t>
            </w:r>
          </w:p>
        </w:tc>
        <w:tc>
          <w:tcPr>
            <w:tcW w:w="850" w:type="dxa"/>
            <w:vMerge w:val="restart"/>
            <w:tcBorders>
              <w:top w:val="single" w:sz="4" w:space="0" w:color="auto"/>
            </w:tcBorders>
            <w:shd w:val="clear" w:color="auto" w:fill="auto"/>
            <w:vAlign w:val="center"/>
          </w:tcPr>
          <w:p w14:paraId="20F5E859"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xml:space="preserve"> NO. OF LCs </w:t>
            </w:r>
          </w:p>
        </w:tc>
        <w:tc>
          <w:tcPr>
            <w:tcW w:w="2268" w:type="dxa"/>
            <w:gridSpan w:val="2"/>
            <w:tcBorders>
              <w:top w:val="single" w:sz="4" w:space="0" w:color="auto"/>
              <w:bottom w:val="single" w:sz="4" w:space="0" w:color="auto"/>
            </w:tcBorders>
            <w:shd w:val="clear" w:color="auto" w:fill="auto"/>
            <w:vAlign w:val="center"/>
          </w:tcPr>
          <w:p w14:paraId="14DF5050"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NO. OF MONTHS/YEARS OUTSTANDING</w:t>
            </w:r>
          </w:p>
        </w:tc>
        <w:tc>
          <w:tcPr>
            <w:tcW w:w="1843" w:type="dxa"/>
            <w:tcBorders>
              <w:top w:val="single" w:sz="4" w:space="0" w:color="auto"/>
            </w:tcBorders>
            <w:shd w:val="clear" w:color="auto" w:fill="auto"/>
            <w:vAlign w:val="center"/>
          </w:tcPr>
          <w:p w14:paraId="5618C675"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xml:space="preserve"> PESO AMOUNT </w:t>
            </w:r>
          </w:p>
        </w:tc>
        <w:tc>
          <w:tcPr>
            <w:tcW w:w="1737" w:type="dxa"/>
            <w:tcBorders>
              <w:top w:val="single" w:sz="4" w:space="0" w:color="auto"/>
            </w:tcBorders>
            <w:shd w:val="clear" w:color="auto" w:fill="auto"/>
            <w:vAlign w:val="center"/>
          </w:tcPr>
          <w:p w14:paraId="0F825597"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REMARKS IN THE SUBMITTED SCHEDULE</w:t>
            </w:r>
          </w:p>
        </w:tc>
      </w:tr>
      <w:tr w:rsidR="00312FC6" w:rsidRPr="004C4F6D" w14:paraId="62C8619D" w14:textId="77777777" w:rsidTr="002F1504">
        <w:trPr>
          <w:cantSplit/>
          <w:trHeight w:val="228"/>
          <w:tblHeader/>
        </w:trPr>
        <w:tc>
          <w:tcPr>
            <w:tcW w:w="1934" w:type="dxa"/>
            <w:vMerge/>
            <w:tcBorders>
              <w:bottom w:val="single" w:sz="4" w:space="0" w:color="auto"/>
            </w:tcBorders>
            <w:shd w:val="clear" w:color="auto" w:fill="auto"/>
            <w:vAlign w:val="center"/>
          </w:tcPr>
          <w:p w14:paraId="095F8E51" w14:textId="77777777" w:rsidR="00312FC6" w:rsidRPr="004C4F6D" w:rsidRDefault="00312FC6" w:rsidP="004C4F6D">
            <w:pPr>
              <w:widowControl w:val="0"/>
              <w:spacing w:after="0" w:line="240" w:lineRule="auto"/>
              <w:rPr>
                <w:rFonts w:ascii="Arial" w:eastAsia="Arial Narrow" w:hAnsi="Arial" w:cs="Arial"/>
                <w:color w:val="000000"/>
                <w:sz w:val="20"/>
                <w:szCs w:val="20"/>
                <w:lang w:eastAsia="en-PH"/>
              </w:rPr>
            </w:pPr>
          </w:p>
        </w:tc>
        <w:tc>
          <w:tcPr>
            <w:tcW w:w="850" w:type="dxa"/>
            <w:vMerge/>
            <w:tcBorders>
              <w:bottom w:val="single" w:sz="4" w:space="0" w:color="auto"/>
            </w:tcBorders>
            <w:shd w:val="clear" w:color="auto" w:fill="auto"/>
            <w:vAlign w:val="center"/>
          </w:tcPr>
          <w:p w14:paraId="31E37B84" w14:textId="77777777" w:rsidR="00312FC6" w:rsidRPr="004C4F6D" w:rsidRDefault="00312FC6" w:rsidP="004C4F6D">
            <w:pPr>
              <w:widowControl w:val="0"/>
              <w:spacing w:after="0" w:line="240" w:lineRule="auto"/>
              <w:rPr>
                <w:rFonts w:ascii="Arial" w:eastAsia="Arial Narrow" w:hAnsi="Arial" w:cs="Arial"/>
                <w:color w:val="000000"/>
                <w:sz w:val="20"/>
                <w:szCs w:val="20"/>
                <w:lang w:eastAsia="en-PH"/>
              </w:rPr>
            </w:pPr>
          </w:p>
        </w:tc>
        <w:tc>
          <w:tcPr>
            <w:tcW w:w="1276" w:type="dxa"/>
            <w:tcBorders>
              <w:top w:val="single" w:sz="4" w:space="0" w:color="auto"/>
              <w:bottom w:val="single" w:sz="4" w:space="0" w:color="auto"/>
            </w:tcBorders>
            <w:shd w:val="clear" w:color="auto" w:fill="auto"/>
            <w:vAlign w:val="center"/>
          </w:tcPr>
          <w:p w14:paraId="7F06325E" w14:textId="77777777" w:rsidR="00312FC6" w:rsidRPr="004C4F6D" w:rsidRDefault="003919DE" w:rsidP="004C4F6D">
            <w:pPr>
              <w:spacing w:after="0" w:line="240" w:lineRule="auto"/>
              <w:rPr>
                <w:rFonts w:ascii="Arial" w:eastAsia="Arial Narrow" w:hAnsi="Arial" w:cs="Arial"/>
                <w:b/>
                <w:color w:val="000000"/>
                <w:sz w:val="20"/>
                <w:szCs w:val="20"/>
                <w:lang w:eastAsia="en-PH"/>
              </w:rPr>
            </w:pPr>
            <w:r w:rsidRPr="004C4F6D">
              <w:rPr>
                <w:rFonts w:ascii="Arial" w:eastAsia="Arial Narrow" w:hAnsi="Arial" w:cs="Arial"/>
                <w:b/>
                <w:color w:val="000000"/>
                <w:sz w:val="20"/>
                <w:szCs w:val="20"/>
                <w:lang w:eastAsia="en-PH"/>
              </w:rPr>
              <w:t xml:space="preserve"> MONTHS </w:t>
            </w:r>
          </w:p>
        </w:tc>
        <w:tc>
          <w:tcPr>
            <w:tcW w:w="992" w:type="dxa"/>
            <w:tcBorders>
              <w:top w:val="single" w:sz="4" w:space="0" w:color="auto"/>
              <w:bottom w:val="single" w:sz="4" w:space="0" w:color="auto"/>
            </w:tcBorders>
            <w:shd w:val="clear" w:color="auto" w:fill="auto"/>
            <w:vAlign w:val="center"/>
          </w:tcPr>
          <w:p w14:paraId="2BC741ED" w14:textId="77777777" w:rsidR="00312FC6" w:rsidRPr="004C4F6D" w:rsidRDefault="003919DE" w:rsidP="004C4F6D">
            <w:pPr>
              <w:spacing w:after="0" w:line="240" w:lineRule="auto"/>
              <w:rPr>
                <w:rFonts w:ascii="Arial" w:eastAsia="Arial Narrow" w:hAnsi="Arial" w:cs="Arial"/>
                <w:b/>
                <w:color w:val="000000"/>
                <w:sz w:val="20"/>
                <w:szCs w:val="20"/>
                <w:lang w:eastAsia="en-PH"/>
              </w:rPr>
            </w:pPr>
            <w:r w:rsidRPr="004C4F6D">
              <w:rPr>
                <w:rFonts w:ascii="Arial" w:eastAsia="Arial Narrow" w:hAnsi="Arial" w:cs="Arial"/>
                <w:b/>
                <w:color w:val="000000"/>
                <w:sz w:val="20"/>
                <w:szCs w:val="20"/>
                <w:lang w:eastAsia="en-PH"/>
              </w:rPr>
              <w:t xml:space="preserve"> YEARS </w:t>
            </w:r>
          </w:p>
        </w:tc>
        <w:tc>
          <w:tcPr>
            <w:tcW w:w="1843" w:type="dxa"/>
            <w:tcBorders>
              <w:bottom w:val="single" w:sz="4" w:space="0" w:color="auto"/>
            </w:tcBorders>
            <w:shd w:val="clear" w:color="auto" w:fill="auto"/>
            <w:vAlign w:val="center"/>
          </w:tcPr>
          <w:p w14:paraId="1638EBA7" w14:textId="77777777" w:rsidR="00312FC6" w:rsidRPr="004C4F6D" w:rsidRDefault="00312FC6" w:rsidP="004C4F6D">
            <w:pPr>
              <w:widowControl w:val="0"/>
              <w:spacing w:after="0" w:line="240" w:lineRule="auto"/>
              <w:rPr>
                <w:rFonts w:ascii="Arial" w:eastAsia="Arial Narrow" w:hAnsi="Arial" w:cs="Arial"/>
                <w:color w:val="000000"/>
                <w:sz w:val="20"/>
                <w:szCs w:val="20"/>
                <w:lang w:eastAsia="en-PH"/>
              </w:rPr>
            </w:pPr>
          </w:p>
        </w:tc>
        <w:tc>
          <w:tcPr>
            <w:tcW w:w="1737" w:type="dxa"/>
            <w:tcBorders>
              <w:bottom w:val="single" w:sz="4" w:space="0" w:color="auto"/>
            </w:tcBorders>
            <w:shd w:val="clear" w:color="auto" w:fill="auto"/>
            <w:vAlign w:val="center"/>
          </w:tcPr>
          <w:p w14:paraId="20B5353E" w14:textId="77777777" w:rsidR="00312FC6" w:rsidRPr="004C4F6D" w:rsidRDefault="00312FC6" w:rsidP="004C4F6D">
            <w:pPr>
              <w:widowControl w:val="0"/>
              <w:spacing w:after="0" w:line="240" w:lineRule="auto"/>
              <w:rPr>
                <w:rFonts w:ascii="Arial" w:eastAsia="Arial Narrow" w:hAnsi="Arial" w:cs="Arial"/>
                <w:color w:val="000000"/>
                <w:sz w:val="20"/>
                <w:szCs w:val="20"/>
                <w:lang w:eastAsia="en-PH"/>
              </w:rPr>
            </w:pPr>
          </w:p>
        </w:tc>
      </w:tr>
      <w:tr w:rsidR="00312FC6" w:rsidRPr="004C4F6D" w14:paraId="3FA41D5C" w14:textId="77777777" w:rsidTr="002F1504">
        <w:trPr>
          <w:trHeight w:val="228"/>
          <w:tblHeader/>
        </w:trPr>
        <w:tc>
          <w:tcPr>
            <w:tcW w:w="8632" w:type="dxa"/>
            <w:gridSpan w:val="6"/>
            <w:tcBorders>
              <w:left w:val="nil"/>
              <w:bottom w:val="single" w:sz="4" w:space="0" w:color="000000"/>
              <w:right w:val="nil"/>
            </w:tcBorders>
            <w:shd w:val="clear" w:color="auto" w:fill="auto"/>
            <w:vAlign w:val="center"/>
          </w:tcPr>
          <w:p w14:paraId="3C55B8ED"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Accounts Payable - Government Entities</w:t>
            </w:r>
          </w:p>
        </w:tc>
      </w:tr>
      <w:tr w:rsidR="00312FC6" w:rsidRPr="004C4F6D" w14:paraId="7AF81B50" w14:textId="77777777" w:rsidTr="002F1504">
        <w:trPr>
          <w:trHeight w:val="228"/>
        </w:trPr>
        <w:tc>
          <w:tcPr>
            <w:tcW w:w="1934" w:type="dxa"/>
            <w:tcBorders>
              <w:top w:val="nil"/>
              <w:left w:val="nil"/>
              <w:bottom w:val="nil"/>
              <w:right w:val="nil"/>
            </w:tcBorders>
            <w:shd w:val="clear" w:color="auto" w:fill="auto"/>
          </w:tcPr>
          <w:p w14:paraId="16073448"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Armed Forces of the Philippines</w:t>
            </w:r>
          </w:p>
        </w:tc>
        <w:tc>
          <w:tcPr>
            <w:tcW w:w="850" w:type="dxa"/>
            <w:tcBorders>
              <w:top w:val="nil"/>
              <w:left w:val="nil"/>
              <w:bottom w:val="nil"/>
              <w:right w:val="nil"/>
            </w:tcBorders>
            <w:shd w:val="clear" w:color="auto" w:fill="auto"/>
          </w:tcPr>
          <w:p w14:paraId="2D6D6A2D"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w:t>
            </w:r>
          </w:p>
        </w:tc>
        <w:tc>
          <w:tcPr>
            <w:tcW w:w="1276" w:type="dxa"/>
            <w:tcBorders>
              <w:top w:val="nil"/>
              <w:left w:val="nil"/>
              <w:bottom w:val="nil"/>
              <w:right w:val="nil"/>
            </w:tcBorders>
            <w:shd w:val="clear" w:color="auto" w:fill="auto"/>
          </w:tcPr>
          <w:p w14:paraId="598F06C7"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36.67</w:t>
            </w:r>
          </w:p>
        </w:tc>
        <w:tc>
          <w:tcPr>
            <w:tcW w:w="992" w:type="dxa"/>
            <w:tcBorders>
              <w:top w:val="nil"/>
              <w:left w:val="nil"/>
              <w:bottom w:val="nil"/>
              <w:right w:val="nil"/>
            </w:tcBorders>
            <w:shd w:val="clear" w:color="auto" w:fill="auto"/>
          </w:tcPr>
          <w:p w14:paraId="5F03F69A"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3.01</w:t>
            </w:r>
          </w:p>
        </w:tc>
        <w:tc>
          <w:tcPr>
            <w:tcW w:w="1843" w:type="dxa"/>
            <w:tcBorders>
              <w:top w:val="nil"/>
              <w:left w:val="nil"/>
              <w:bottom w:val="nil"/>
              <w:right w:val="nil"/>
            </w:tcBorders>
            <w:shd w:val="clear" w:color="auto" w:fill="auto"/>
          </w:tcPr>
          <w:p w14:paraId="36186AE1"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    575,416,918.15 </w:t>
            </w:r>
          </w:p>
        </w:tc>
        <w:tc>
          <w:tcPr>
            <w:tcW w:w="1737" w:type="dxa"/>
            <w:tcBorders>
              <w:top w:val="nil"/>
              <w:left w:val="nil"/>
              <w:bottom w:val="nil"/>
              <w:right w:val="nil"/>
            </w:tcBorders>
            <w:shd w:val="clear" w:color="auto" w:fill="auto"/>
          </w:tcPr>
          <w:p w14:paraId="61C91A05"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Excess payment for LC</w:t>
            </w:r>
          </w:p>
        </w:tc>
      </w:tr>
      <w:tr w:rsidR="00312FC6" w:rsidRPr="004C4F6D" w14:paraId="48146A06" w14:textId="77777777" w:rsidTr="002F1504">
        <w:trPr>
          <w:trHeight w:val="228"/>
        </w:trPr>
        <w:tc>
          <w:tcPr>
            <w:tcW w:w="1934" w:type="dxa"/>
            <w:tcBorders>
              <w:top w:val="nil"/>
              <w:left w:val="nil"/>
              <w:bottom w:val="nil"/>
              <w:right w:val="nil"/>
            </w:tcBorders>
            <w:shd w:val="clear" w:color="auto" w:fill="auto"/>
          </w:tcPr>
          <w:p w14:paraId="1B3CC2AD"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Philippine National Police - SAF</w:t>
            </w:r>
          </w:p>
        </w:tc>
        <w:tc>
          <w:tcPr>
            <w:tcW w:w="850" w:type="dxa"/>
            <w:tcBorders>
              <w:top w:val="nil"/>
              <w:left w:val="nil"/>
              <w:bottom w:val="nil"/>
              <w:right w:val="nil"/>
            </w:tcBorders>
            <w:shd w:val="clear" w:color="auto" w:fill="auto"/>
          </w:tcPr>
          <w:p w14:paraId="05052F02"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w:t>
            </w:r>
          </w:p>
        </w:tc>
        <w:tc>
          <w:tcPr>
            <w:tcW w:w="1276" w:type="dxa"/>
            <w:tcBorders>
              <w:top w:val="nil"/>
              <w:left w:val="nil"/>
              <w:bottom w:val="nil"/>
              <w:right w:val="nil"/>
            </w:tcBorders>
            <w:shd w:val="clear" w:color="auto" w:fill="auto"/>
          </w:tcPr>
          <w:p w14:paraId="32E91022"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20.43 </w:t>
            </w:r>
          </w:p>
        </w:tc>
        <w:tc>
          <w:tcPr>
            <w:tcW w:w="992" w:type="dxa"/>
            <w:tcBorders>
              <w:top w:val="nil"/>
              <w:left w:val="nil"/>
              <w:bottom w:val="nil"/>
              <w:right w:val="nil"/>
            </w:tcBorders>
            <w:shd w:val="clear" w:color="auto" w:fill="auto"/>
          </w:tcPr>
          <w:p w14:paraId="321CA8DE"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1.68</w:t>
            </w:r>
          </w:p>
        </w:tc>
        <w:tc>
          <w:tcPr>
            <w:tcW w:w="1843" w:type="dxa"/>
            <w:tcBorders>
              <w:top w:val="nil"/>
              <w:left w:val="nil"/>
              <w:bottom w:val="nil"/>
              <w:right w:val="nil"/>
            </w:tcBorders>
            <w:shd w:val="clear" w:color="auto" w:fill="auto"/>
          </w:tcPr>
          <w:p w14:paraId="10870F30"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           369,096.91 </w:t>
            </w:r>
          </w:p>
        </w:tc>
        <w:tc>
          <w:tcPr>
            <w:tcW w:w="1737" w:type="dxa"/>
            <w:tcBorders>
              <w:top w:val="nil"/>
              <w:left w:val="nil"/>
              <w:bottom w:val="nil"/>
              <w:right w:val="nil"/>
            </w:tcBorders>
            <w:shd w:val="clear" w:color="auto" w:fill="auto"/>
          </w:tcPr>
          <w:p w14:paraId="285E634E"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Excess payment for LC</w:t>
            </w:r>
          </w:p>
        </w:tc>
      </w:tr>
      <w:tr w:rsidR="00312FC6" w:rsidRPr="004C4F6D" w14:paraId="490FEFDC" w14:textId="77777777" w:rsidTr="002F1504">
        <w:trPr>
          <w:trHeight w:val="228"/>
        </w:trPr>
        <w:tc>
          <w:tcPr>
            <w:tcW w:w="1934" w:type="dxa"/>
            <w:tcBorders>
              <w:top w:val="nil"/>
              <w:left w:val="nil"/>
              <w:bottom w:val="nil"/>
              <w:right w:val="nil"/>
            </w:tcBorders>
            <w:shd w:val="clear" w:color="auto" w:fill="auto"/>
          </w:tcPr>
          <w:p w14:paraId="523434FB"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Philippine National Police </w:t>
            </w:r>
          </w:p>
        </w:tc>
        <w:tc>
          <w:tcPr>
            <w:tcW w:w="850" w:type="dxa"/>
            <w:tcBorders>
              <w:top w:val="nil"/>
              <w:left w:val="nil"/>
              <w:bottom w:val="nil"/>
              <w:right w:val="nil"/>
            </w:tcBorders>
            <w:shd w:val="clear" w:color="auto" w:fill="auto"/>
          </w:tcPr>
          <w:p w14:paraId="37E161FE"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w:t>
            </w:r>
          </w:p>
        </w:tc>
        <w:tc>
          <w:tcPr>
            <w:tcW w:w="1276" w:type="dxa"/>
            <w:tcBorders>
              <w:top w:val="nil"/>
              <w:left w:val="nil"/>
              <w:bottom w:val="nil"/>
              <w:right w:val="nil"/>
            </w:tcBorders>
            <w:shd w:val="clear" w:color="auto" w:fill="auto"/>
          </w:tcPr>
          <w:p w14:paraId="5C791AD3"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20.37</w:t>
            </w:r>
          </w:p>
        </w:tc>
        <w:tc>
          <w:tcPr>
            <w:tcW w:w="992" w:type="dxa"/>
            <w:tcBorders>
              <w:top w:val="nil"/>
              <w:left w:val="nil"/>
              <w:bottom w:val="nil"/>
              <w:right w:val="nil"/>
            </w:tcBorders>
            <w:shd w:val="clear" w:color="auto" w:fill="auto"/>
          </w:tcPr>
          <w:p w14:paraId="2D06EA6B"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1.67</w:t>
            </w:r>
          </w:p>
        </w:tc>
        <w:tc>
          <w:tcPr>
            <w:tcW w:w="1843" w:type="dxa"/>
            <w:tcBorders>
              <w:top w:val="nil"/>
              <w:left w:val="nil"/>
              <w:bottom w:val="nil"/>
              <w:right w:val="nil"/>
            </w:tcBorders>
            <w:shd w:val="clear" w:color="auto" w:fill="auto"/>
          </w:tcPr>
          <w:p w14:paraId="7D5BD592"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      21,958,806.24 </w:t>
            </w:r>
          </w:p>
        </w:tc>
        <w:tc>
          <w:tcPr>
            <w:tcW w:w="1737" w:type="dxa"/>
            <w:tcBorders>
              <w:top w:val="nil"/>
              <w:left w:val="nil"/>
              <w:bottom w:val="nil"/>
              <w:right w:val="nil"/>
            </w:tcBorders>
            <w:shd w:val="clear" w:color="auto" w:fill="auto"/>
          </w:tcPr>
          <w:p w14:paraId="471D45EA"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Excess payment for LC</w:t>
            </w:r>
          </w:p>
        </w:tc>
      </w:tr>
      <w:tr w:rsidR="00312FC6" w:rsidRPr="004C4F6D" w14:paraId="78F22366" w14:textId="77777777" w:rsidTr="002F1504">
        <w:trPr>
          <w:trHeight w:val="228"/>
        </w:trPr>
        <w:tc>
          <w:tcPr>
            <w:tcW w:w="1934" w:type="dxa"/>
            <w:tcBorders>
              <w:top w:val="nil"/>
              <w:left w:val="nil"/>
              <w:bottom w:val="single" w:sz="4" w:space="0" w:color="auto"/>
              <w:right w:val="nil"/>
            </w:tcBorders>
            <w:shd w:val="clear" w:color="auto" w:fill="auto"/>
          </w:tcPr>
          <w:p w14:paraId="03719A33"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Philippine National Police </w:t>
            </w:r>
          </w:p>
        </w:tc>
        <w:tc>
          <w:tcPr>
            <w:tcW w:w="850" w:type="dxa"/>
            <w:tcBorders>
              <w:top w:val="nil"/>
              <w:left w:val="nil"/>
              <w:bottom w:val="single" w:sz="4" w:space="0" w:color="auto"/>
              <w:right w:val="nil"/>
            </w:tcBorders>
            <w:shd w:val="clear" w:color="auto" w:fill="auto"/>
          </w:tcPr>
          <w:p w14:paraId="383550BF"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w:t>
            </w:r>
          </w:p>
        </w:tc>
        <w:tc>
          <w:tcPr>
            <w:tcW w:w="1276" w:type="dxa"/>
            <w:tcBorders>
              <w:top w:val="nil"/>
              <w:left w:val="nil"/>
              <w:bottom w:val="single" w:sz="4" w:space="0" w:color="auto"/>
              <w:right w:val="nil"/>
            </w:tcBorders>
            <w:shd w:val="clear" w:color="auto" w:fill="auto"/>
          </w:tcPr>
          <w:p w14:paraId="70678E65"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15.67</w:t>
            </w:r>
          </w:p>
        </w:tc>
        <w:tc>
          <w:tcPr>
            <w:tcW w:w="992" w:type="dxa"/>
            <w:tcBorders>
              <w:top w:val="nil"/>
              <w:left w:val="nil"/>
              <w:bottom w:val="single" w:sz="4" w:space="0" w:color="auto"/>
              <w:right w:val="nil"/>
            </w:tcBorders>
            <w:shd w:val="clear" w:color="auto" w:fill="auto"/>
          </w:tcPr>
          <w:p w14:paraId="4FCE9ED1"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1.28</w:t>
            </w:r>
          </w:p>
        </w:tc>
        <w:tc>
          <w:tcPr>
            <w:tcW w:w="1843" w:type="dxa"/>
            <w:tcBorders>
              <w:top w:val="nil"/>
              <w:left w:val="nil"/>
              <w:bottom w:val="single" w:sz="4" w:space="0" w:color="auto"/>
              <w:right w:val="nil"/>
            </w:tcBorders>
            <w:shd w:val="clear" w:color="auto" w:fill="auto"/>
          </w:tcPr>
          <w:p w14:paraId="44AFA7F2"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    601,710,000.09 </w:t>
            </w:r>
          </w:p>
        </w:tc>
        <w:tc>
          <w:tcPr>
            <w:tcW w:w="1737" w:type="dxa"/>
            <w:tcBorders>
              <w:top w:val="nil"/>
              <w:left w:val="nil"/>
              <w:bottom w:val="single" w:sz="4" w:space="0" w:color="auto"/>
              <w:right w:val="nil"/>
            </w:tcBorders>
            <w:shd w:val="clear" w:color="auto" w:fill="auto"/>
          </w:tcPr>
          <w:p w14:paraId="21CAB799"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Excess payment for LC</w:t>
            </w:r>
          </w:p>
        </w:tc>
      </w:tr>
      <w:tr w:rsidR="00312FC6" w:rsidRPr="004C4F6D" w14:paraId="1F28DF91" w14:textId="77777777" w:rsidTr="002F1504">
        <w:trPr>
          <w:trHeight w:val="228"/>
        </w:trPr>
        <w:tc>
          <w:tcPr>
            <w:tcW w:w="1934" w:type="dxa"/>
            <w:tcBorders>
              <w:top w:val="single" w:sz="4" w:space="0" w:color="auto"/>
              <w:left w:val="nil"/>
              <w:bottom w:val="double" w:sz="4" w:space="0" w:color="auto"/>
              <w:right w:val="nil"/>
            </w:tcBorders>
            <w:shd w:val="clear" w:color="auto" w:fill="auto"/>
            <w:vAlign w:val="center"/>
          </w:tcPr>
          <w:p w14:paraId="7C44F072" w14:textId="77777777" w:rsidR="00312FC6" w:rsidRPr="004C4F6D" w:rsidRDefault="003919DE"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Total</w:t>
            </w:r>
          </w:p>
        </w:tc>
        <w:tc>
          <w:tcPr>
            <w:tcW w:w="850" w:type="dxa"/>
            <w:tcBorders>
              <w:top w:val="single" w:sz="4" w:space="0" w:color="auto"/>
              <w:left w:val="nil"/>
              <w:bottom w:val="double" w:sz="4" w:space="0" w:color="auto"/>
              <w:right w:val="nil"/>
            </w:tcBorders>
            <w:shd w:val="clear" w:color="auto" w:fill="auto"/>
            <w:vAlign w:val="center"/>
          </w:tcPr>
          <w:p w14:paraId="7BC930EF"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4</w:t>
            </w:r>
          </w:p>
        </w:tc>
        <w:tc>
          <w:tcPr>
            <w:tcW w:w="1276" w:type="dxa"/>
            <w:tcBorders>
              <w:top w:val="single" w:sz="4" w:space="0" w:color="auto"/>
              <w:left w:val="nil"/>
              <w:bottom w:val="double" w:sz="4" w:space="0" w:color="auto"/>
              <w:right w:val="nil"/>
            </w:tcBorders>
            <w:shd w:val="clear" w:color="auto" w:fill="auto"/>
          </w:tcPr>
          <w:p w14:paraId="706733D6"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w:t>
            </w:r>
          </w:p>
        </w:tc>
        <w:tc>
          <w:tcPr>
            <w:tcW w:w="992" w:type="dxa"/>
            <w:tcBorders>
              <w:top w:val="single" w:sz="4" w:space="0" w:color="auto"/>
              <w:left w:val="nil"/>
              <w:bottom w:val="double" w:sz="4" w:space="0" w:color="auto"/>
              <w:right w:val="nil"/>
            </w:tcBorders>
            <w:shd w:val="clear" w:color="auto" w:fill="auto"/>
            <w:vAlign w:val="center"/>
          </w:tcPr>
          <w:p w14:paraId="423C920D" w14:textId="77777777" w:rsidR="00312FC6" w:rsidRPr="004C4F6D" w:rsidRDefault="003919DE"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w:t>
            </w:r>
          </w:p>
        </w:tc>
        <w:tc>
          <w:tcPr>
            <w:tcW w:w="1843" w:type="dxa"/>
            <w:tcBorders>
              <w:top w:val="single" w:sz="4" w:space="0" w:color="auto"/>
              <w:left w:val="nil"/>
              <w:bottom w:val="double" w:sz="4" w:space="0" w:color="auto"/>
              <w:right w:val="nil"/>
            </w:tcBorders>
            <w:shd w:val="clear" w:color="auto" w:fill="auto"/>
            <w:vAlign w:val="center"/>
          </w:tcPr>
          <w:p w14:paraId="28BBD990" w14:textId="77777777" w:rsidR="00312FC6" w:rsidRPr="004C4F6D" w:rsidRDefault="003919DE"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xml:space="preserve"> 1,199,454,821.39 </w:t>
            </w:r>
          </w:p>
        </w:tc>
        <w:tc>
          <w:tcPr>
            <w:tcW w:w="1737" w:type="dxa"/>
            <w:tcBorders>
              <w:top w:val="single" w:sz="4" w:space="0" w:color="auto"/>
              <w:left w:val="nil"/>
              <w:bottom w:val="double" w:sz="4" w:space="0" w:color="auto"/>
              <w:right w:val="nil"/>
            </w:tcBorders>
            <w:shd w:val="clear" w:color="auto" w:fill="auto"/>
          </w:tcPr>
          <w:p w14:paraId="49961ED0" w14:textId="77777777" w:rsidR="00312FC6" w:rsidRPr="004C4F6D" w:rsidRDefault="00312FC6" w:rsidP="004C4F6D">
            <w:pPr>
              <w:spacing w:after="0" w:line="240" w:lineRule="auto"/>
              <w:jc w:val="right"/>
              <w:rPr>
                <w:rFonts w:ascii="Arial" w:eastAsia="Arial Narrow" w:hAnsi="Arial" w:cs="Arial"/>
                <w:color w:val="000000"/>
                <w:sz w:val="20"/>
                <w:szCs w:val="20"/>
                <w:lang w:eastAsia="en-PH"/>
              </w:rPr>
            </w:pPr>
          </w:p>
        </w:tc>
      </w:tr>
    </w:tbl>
    <w:p w14:paraId="7E157485" w14:textId="77777777" w:rsidR="00312FC6" w:rsidRPr="004C4F6D" w:rsidRDefault="00312FC6" w:rsidP="004C4F6D">
      <w:pPr>
        <w:pStyle w:val="ListParagraph"/>
        <w:spacing w:after="0" w:line="240" w:lineRule="auto"/>
        <w:ind w:left="1440"/>
        <w:jc w:val="both"/>
        <w:rPr>
          <w:rFonts w:ascii="Arial" w:eastAsia="Arial Narrow" w:hAnsi="Arial" w:cs="Arial"/>
        </w:rPr>
      </w:pPr>
    </w:p>
    <w:p w14:paraId="30C4809F" w14:textId="325C9699" w:rsidR="00226C18" w:rsidRPr="004C4F6D" w:rsidRDefault="003919DE" w:rsidP="004C4F6D">
      <w:pPr>
        <w:pStyle w:val="ListParagraph"/>
        <w:numPr>
          <w:ilvl w:val="1"/>
          <w:numId w:val="25"/>
        </w:numPr>
        <w:spacing w:after="0" w:line="240" w:lineRule="auto"/>
        <w:ind w:left="1080"/>
        <w:jc w:val="both"/>
        <w:rPr>
          <w:rFonts w:ascii="Arial" w:eastAsia="Arial Narrow" w:hAnsi="Arial" w:cs="Arial"/>
        </w:rPr>
      </w:pPr>
      <w:r w:rsidRPr="004C4F6D">
        <w:rPr>
          <w:rFonts w:ascii="Arial" w:eastAsia="Arial Narrow" w:hAnsi="Arial" w:cs="Arial"/>
          <w:color w:val="000000"/>
        </w:rPr>
        <w:t>LCs of AFP and PNP- SAF amounting to P575,416,918.15, and P369,096.91</w:t>
      </w:r>
      <w:r w:rsidR="004676CE" w:rsidRPr="004C4F6D">
        <w:rPr>
          <w:rFonts w:ascii="Arial" w:eastAsia="Arial Narrow" w:hAnsi="Arial" w:cs="Arial"/>
          <w:color w:val="000000"/>
        </w:rPr>
        <w:t xml:space="preserve"> </w:t>
      </w:r>
      <w:r w:rsidRPr="004C4F6D">
        <w:rPr>
          <w:rFonts w:ascii="Arial" w:eastAsia="Arial Narrow" w:hAnsi="Arial" w:cs="Arial"/>
          <w:color w:val="000000"/>
        </w:rPr>
        <w:t>were fully negotiated/closed on December 21, 2020, and November 21, 2022, respectively</w:t>
      </w:r>
      <w:r w:rsidR="00226C18" w:rsidRPr="004C4F6D">
        <w:rPr>
          <w:rFonts w:ascii="Arial" w:eastAsia="Arial Narrow" w:hAnsi="Arial" w:cs="Arial"/>
          <w:color w:val="000000"/>
        </w:rPr>
        <w:t xml:space="preserve">. </w:t>
      </w:r>
      <w:r w:rsidR="00226C18" w:rsidRPr="004C4F6D">
        <w:rPr>
          <w:rFonts w:ascii="Arial" w:eastAsia="Arial Narrow" w:hAnsi="Arial" w:cs="Arial"/>
        </w:rPr>
        <w:t xml:space="preserve">The </w:t>
      </w:r>
      <w:r w:rsidR="00226C18" w:rsidRPr="004C4F6D">
        <w:rPr>
          <w:rFonts w:ascii="Arial" w:eastAsia="Arial Narrow" w:hAnsi="Arial" w:cs="Arial"/>
          <w:color w:val="000000"/>
        </w:rPr>
        <w:t xml:space="preserve">P575,416,918.15 </w:t>
      </w:r>
      <w:r w:rsidR="00226C18" w:rsidRPr="004C4F6D">
        <w:rPr>
          <w:rFonts w:ascii="Arial" w:hAnsi="Arial" w:cs="Arial"/>
          <w:shd w:val="clear" w:color="auto" w:fill="FFFFFF"/>
        </w:rPr>
        <w:t xml:space="preserve">was reverted to AFP instead of the BTr on February 28, 2023 and the </w:t>
      </w:r>
      <w:r w:rsidR="00226C18" w:rsidRPr="004C4F6D">
        <w:rPr>
          <w:rFonts w:ascii="Arial" w:eastAsia="Arial Narrow" w:hAnsi="Arial" w:cs="Arial"/>
          <w:color w:val="000000"/>
        </w:rPr>
        <w:t xml:space="preserve">P369,096.91 </w:t>
      </w:r>
      <w:r w:rsidR="004676CE" w:rsidRPr="004C4F6D">
        <w:rPr>
          <w:rFonts w:ascii="Arial" w:eastAsia="Arial Narrow" w:hAnsi="Arial" w:cs="Arial"/>
          <w:color w:val="000000"/>
        </w:rPr>
        <w:t xml:space="preserve">was </w:t>
      </w:r>
      <w:r w:rsidR="00226C18" w:rsidRPr="004C4F6D">
        <w:rPr>
          <w:rFonts w:ascii="Arial" w:eastAsia="Arial Narrow" w:hAnsi="Arial" w:cs="Arial"/>
          <w:color w:val="000000"/>
        </w:rPr>
        <w:t xml:space="preserve">remitted to </w:t>
      </w:r>
      <w:r w:rsidR="00226C18" w:rsidRPr="004C4F6D">
        <w:rPr>
          <w:rFonts w:ascii="Arial" w:hAnsi="Arial" w:cs="Arial"/>
          <w:shd w:val="clear" w:color="auto" w:fill="FFFFFF"/>
        </w:rPr>
        <w:t>BTr on February 1, 2023.</w:t>
      </w:r>
    </w:p>
    <w:p w14:paraId="3AADCCA6" w14:textId="77777777" w:rsidR="00312FC6" w:rsidRPr="004C4F6D" w:rsidRDefault="00312FC6" w:rsidP="004C4F6D">
      <w:pPr>
        <w:pStyle w:val="ListParagraph"/>
        <w:spacing w:after="0" w:line="240" w:lineRule="auto"/>
        <w:ind w:left="993"/>
        <w:jc w:val="both"/>
        <w:rPr>
          <w:rFonts w:ascii="Arial" w:eastAsia="Arial Narrow" w:hAnsi="Arial" w:cs="Arial"/>
        </w:rPr>
      </w:pPr>
    </w:p>
    <w:p w14:paraId="3890E25C" w14:textId="0D5DDFEA" w:rsidR="00312FC6" w:rsidRPr="004C4F6D" w:rsidRDefault="00226C18" w:rsidP="004C4F6D">
      <w:pPr>
        <w:pStyle w:val="ListParagraph"/>
        <w:numPr>
          <w:ilvl w:val="1"/>
          <w:numId w:val="25"/>
        </w:numPr>
        <w:spacing w:after="0" w:line="240" w:lineRule="auto"/>
        <w:ind w:left="1080"/>
        <w:jc w:val="both"/>
        <w:rPr>
          <w:rFonts w:ascii="Arial" w:eastAsia="Arial Narrow" w:hAnsi="Arial" w:cs="Arial"/>
        </w:rPr>
      </w:pPr>
      <w:r w:rsidRPr="004C4F6D">
        <w:rPr>
          <w:rFonts w:ascii="Arial" w:eastAsia="Arial Narrow" w:hAnsi="Arial" w:cs="Arial"/>
          <w:color w:val="000000"/>
        </w:rPr>
        <w:t>E</w:t>
      </w:r>
      <w:r w:rsidR="003919DE" w:rsidRPr="004C4F6D">
        <w:rPr>
          <w:rFonts w:ascii="Arial" w:eastAsia="Arial Narrow" w:hAnsi="Arial" w:cs="Arial"/>
          <w:color w:val="000000"/>
        </w:rPr>
        <w:t>xcess payment for LC amounting P21,958,806.24, pertains to expired LC.</w:t>
      </w:r>
    </w:p>
    <w:p w14:paraId="2948A609" w14:textId="77777777" w:rsidR="00312FC6" w:rsidRPr="004C4F6D" w:rsidRDefault="00312FC6" w:rsidP="004C4F6D">
      <w:pPr>
        <w:pStyle w:val="ListParagraph"/>
        <w:ind w:left="993"/>
        <w:rPr>
          <w:rFonts w:ascii="Arial" w:eastAsia="Arial Narrow" w:hAnsi="Arial" w:cs="Arial"/>
        </w:rPr>
      </w:pPr>
    </w:p>
    <w:p w14:paraId="63166D1A" w14:textId="77959BB9" w:rsidR="00312FC6" w:rsidRPr="004C4F6D" w:rsidRDefault="003919DE" w:rsidP="004C4F6D">
      <w:pPr>
        <w:pStyle w:val="ListParagraph"/>
        <w:numPr>
          <w:ilvl w:val="1"/>
          <w:numId w:val="25"/>
        </w:numPr>
        <w:spacing w:after="0" w:line="240" w:lineRule="auto"/>
        <w:ind w:left="1080"/>
        <w:jc w:val="both"/>
        <w:rPr>
          <w:rFonts w:ascii="Arial" w:eastAsia="Arial Narrow" w:hAnsi="Arial" w:cs="Arial"/>
          <w:color w:val="000000"/>
        </w:rPr>
      </w:pPr>
      <w:r w:rsidRPr="004C4F6D">
        <w:rPr>
          <w:rFonts w:ascii="Arial" w:eastAsia="Arial Narrow" w:hAnsi="Arial" w:cs="Arial"/>
        </w:rPr>
        <w:t>LC</w:t>
      </w:r>
      <w:r w:rsidRPr="004C4F6D">
        <w:rPr>
          <w:rFonts w:ascii="Arial" w:eastAsia="Arial Narrow" w:hAnsi="Arial" w:cs="Arial"/>
          <w:color w:val="000000"/>
        </w:rPr>
        <w:t xml:space="preserve"> of PNP amounting to P601,710,000</w:t>
      </w:r>
      <w:r w:rsidRPr="004C4F6D">
        <w:rPr>
          <w:rFonts w:ascii="Arial" w:hAnsi="Arial" w:cs="Arial"/>
        </w:rPr>
        <w:t xml:space="preserve"> </w:t>
      </w:r>
      <w:r w:rsidR="00940663" w:rsidRPr="004C4F6D">
        <w:rPr>
          <w:rFonts w:ascii="Arial" w:hAnsi="Arial" w:cs="Arial"/>
        </w:rPr>
        <w:t>was</w:t>
      </w:r>
      <w:r w:rsidRPr="004C4F6D">
        <w:rPr>
          <w:rFonts w:ascii="Arial" w:hAnsi="Arial" w:cs="Arial"/>
        </w:rPr>
        <w:t xml:space="preserve"> considered an excess payment from the original LC cover of P1,002,850,000.00 dated 17 September 2021 after the following applications of payment:</w:t>
      </w:r>
    </w:p>
    <w:tbl>
      <w:tblPr>
        <w:tblStyle w:val="TableGrid"/>
        <w:tblpPr w:leftFromText="180" w:rightFromText="180" w:vertAnchor="text" w:horzAnchor="page" w:tblpX="4011" w:tblpY="2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754"/>
      </w:tblGrid>
      <w:tr w:rsidR="00312FC6" w:rsidRPr="004C4F6D" w14:paraId="23F7FB29" w14:textId="77777777" w:rsidTr="002F1504">
        <w:trPr>
          <w:trHeight w:val="262"/>
        </w:trPr>
        <w:tc>
          <w:tcPr>
            <w:tcW w:w="2584" w:type="dxa"/>
            <w:tcBorders>
              <w:top w:val="single" w:sz="4" w:space="0" w:color="auto"/>
              <w:bottom w:val="single" w:sz="4" w:space="0" w:color="auto"/>
            </w:tcBorders>
          </w:tcPr>
          <w:p w14:paraId="6E64635F" w14:textId="77777777" w:rsidR="00312FC6" w:rsidRPr="004C4F6D" w:rsidRDefault="003919DE" w:rsidP="004C4F6D">
            <w:pPr>
              <w:spacing w:after="0" w:line="240" w:lineRule="auto"/>
              <w:jc w:val="center"/>
              <w:rPr>
                <w:rFonts w:ascii="Arial" w:hAnsi="Arial" w:cs="Arial"/>
                <w:b/>
                <w:bCs/>
              </w:rPr>
            </w:pPr>
            <w:r w:rsidRPr="004C4F6D">
              <w:rPr>
                <w:rFonts w:ascii="Arial" w:hAnsi="Arial" w:cs="Arial"/>
                <w:b/>
                <w:bCs/>
              </w:rPr>
              <w:t>Date</w:t>
            </w:r>
          </w:p>
        </w:tc>
        <w:tc>
          <w:tcPr>
            <w:tcW w:w="2754" w:type="dxa"/>
            <w:tcBorders>
              <w:top w:val="single" w:sz="4" w:space="0" w:color="auto"/>
              <w:bottom w:val="single" w:sz="4" w:space="0" w:color="auto"/>
            </w:tcBorders>
          </w:tcPr>
          <w:p w14:paraId="1C45270E" w14:textId="77777777" w:rsidR="00312FC6" w:rsidRPr="004C4F6D" w:rsidRDefault="003919DE" w:rsidP="004C4F6D">
            <w:pPr>
              <w:spacing w:after="0" w:line="240" w:lineRule="auto"/>
              <w:jc w:val="center"/>
              <w:rPr>
                <w:rFonts w:ascii="Arial" w:hAnsi="Arial" w:cs="Arial"/>
                <w:b/>
                <w:bCs/>
              </w:rPr>
            </w:pPr>
            <w:r w:rsidRPr="004C4F6D">
              <w:rPr>
                <w:rFonts w:ascii="Arial" w:hAnsi="Arial" w:cs="Arial"/>
                <w:b/>
                <w:bCs/>
              </w:rPr>
              <w:t>Amount</w:t>
            </w:r>
          </w:p>
        </w:tc>
      </w:tr>
      <w:tr w:rsidR="00312FC6" w:rsidRPr="004C4F6D" w14:paraId="2D6C9B39" w14:textId="77777777" w:rsidTr="002F1504">
        <w:trPr>
          <w:trHeight w:val="252"/>
        </w:trPr>
        <w:tc>
          <w:tcPr>
            <w:tcW w:w="2584" w:type="dxa"/>
            <w:tcBorders>
              <w:top w:val="single" w:sz="4" w:space="0" w:color="auto"/>
            </w:tcBorders>
          </w:tcPr>
          <w:p w14:paraId="7B6B1AC6" w14:textId="77777777" w:rsidR="00312FC6" w:rsidRPr="004C4F6D" w:rsidRDefault="003919DE" w:rsidP="004C4F6D">
            <w:pPr>
              <w:spacing w:after="0" w:line="240" w:lineRule="auto"/>
              <w:jc w:val="both"/>
              <w:rPr>
                <w:rFonts w:ascii="Arial" w:hAnsi="Arial" w:cs="Arial"/>
              </w:rPr>
            </w:pPr>
            <w:r w:rsidRPr="004C4F6D">
              <w:rPr>
                <w:rFonts w:ascii="Arial" w:hAnsi="Arial" w:cs="Arial"/>
              </w:rPr>
              <w:t>May 31, 2022</w:t>
            </w:r>
          </w:p>
        </w:tc>
        <w:tc>
          <w:tcPr>
            <w:tcW w:w="2754" w:type="dxa"/>
            <w:tcBorders>
              <w:top w:val="single" w:sz="4" w:space="0" w:color="auto"/>
            </w:tcBorders>
          </w:tcPr>
          <w:p w14:paraId="56EF17B0" w14:textId="250A2A00" w:rsidR="00312FC6" w:rsidRPr="004C4F6D" w:rsidRDefault="003919DE" w:rsidP="004C4F6D">
            <w:pPr>
              <w:spacing w:after="0" w:line="240" w:lineRule="auto"/>
              <w:jc w:val="right"/>
              <w:rPr>
                <w:rFonts w:ascii="Arial" w:hAnsi="Arial" w:cs="Arial"/>
              </w:rPr>
            </w:pPr>
            <w:r w:rsidRPr="004C4F6D">
              <w:rPr>
                <w:rFonts w:ascii="Arial" w:hAnsi="Arial" w:cs="Arial"/>
              </w:rPr>
              <w:t>150,427,500.00</w:t>
            </w:r>
          </w:p>
        </w:tc>
      </w:tr>
      <w:tr w:rsidR="00312FC6" w:rsidRPr="004C4F6D" w14:paraId="1D2F8CED" w14:textId="77777777" w:rsidTr="002F1504">
        <w:trPr>
          <w:trHeight w:val="262"/>
        </w:trPr>
        <w:tc>
          <w:tcPr>
            <w:tcW w:w="2584" w:type="dxa"/>
          </w:tcPr>
          <w:p w14:paraId="3A8B9CD8" w14:textId="77777777" w:rsidR="00312FC6" w:rsidRPr="004C4F6D" w:rsidRDefault="003919DE" w:rsidP="004C4F6D">
            <w:pPr>
              <w:spacing w:after="0" w:line="240" w:lineRule="auto"/>
              <w:jc w:val="both"/>
              <w:rPr>
                <w:rFonts w:ascii="Arial" w:hAnsi="Arial" w:cs="Arial"/>
              </w:rPr>
            </w:pPr>
            <w:r w:rsidRPr="004C4F6D">
              <w:rPr>
                <w:rFonts w:ascii="Arial" w:hAnsi="Arial" w:cs="Arial"/>
              </w:rPr>
              <w:t>September 1, 2022</w:t>
            </w:r>
          </w:p>
        </w:tc>
        <w:tc>
          <w:tcPr>
            <w:tcW w:w="2754" w:type="dxa"/>
          </w:tcPr>
          <w:p w14:paraId="190CDAB8" w14:textId="77777777" w:rsidR="00312FC6" w:rsidRPr="004C4F6D" w:rsidRDefault="003919DE" w:rsidP="004C4F6D">
            <w:pPr>
              <w:spacing w:after="0" w:line="240" w:lineRule="auto"/>
              <w:jc w:val="right"/>
              <w:rPr>
                <w:rFonts w:ascii="Arial" w:hAnsi="Arial" w:cs="Arial"/>
              </w:rPr>
            </w:pPr>
            <w:r w:rsidRPr="004C4F6D">
              <w:rPr>
                <w:rFonts w:ascii="Arial" w:hAnsi="Arial" w:cs="Arial"/>
              </w:rPr>
              <w:t xml:space="preserve"> 100,285,000.00</w:t>
            </w:r>
          </w:p>
        </w:tc>
      </w:tr>
      <w:tr w:rsidR="00312FC6" w:rsidRPr="004C4F6D" w14:paraId="0CAACCF7" w14:textId="77777777" w:rsidTr="002F1504">
        <w:trPr>
          <w:trHeight w:val="262"/>
        </w:trPr>
        <w:tc>
          <w:tcPr>
            <w:tcW w:w="2584" w:type="dxa"/>
            <w:tcBorders>
              <w:bottom w:val="single" w:sz="4" w:space="0" w:color="auto"/>
            </w:tcBorders>
          </w:tcPr>
          <w:p w14:paraId="443E2FE5" w14:textId="77777777" w:rsidR="00312FC6" w:rsidRPr="004C4F6D" w:rsidRDefault="003919DE" w:rsidP="004C4F6D">
            <w:pPr>
              <w:spacing w:after="0" w:line="240" w:lineRule="auto"/>
              <w:jc w:val="both"/>
              <w:rPr>
                <w:rFonts w:ascii="Arial" w:hAnsi="Arial" w:cs="Arial"/>
              </w:rPr>
            </w:pPr>
            <w:r w:rsidRPr="004C4F6D">
              <w:rPr>
                <w:rFonts w:ascii="Arial" w:hAnsi="Arial" w:cs="Arial"/>
              </w:rPr>
              <w:t>December 14, 2022</w:t>
            </w:r>
          </w:p>
        </w:tc>
        <w:tc>
          <w:tcPr>
            <w:tcW w:w="2754" w:type="dxa"/>
            <w:tcBorders>
              <w:bottom w:val="single" w:sz="4" w:space="0" w:color="auto"/>
            </w:tcBorders>
          </w:tcPr>
          <w:p w14:paraId="20C04F31" w14:textId="77777777" w:rsidR="00312FC6" w:rsidRPr="004C4F6D" w:rsidRDefault="003919DE" w:rsidP="004C4F6D">
            <w:pPr>
              <w:spacing w:after="0" w:line="240" w:lineRule="auto"/>
              <w:jc w:val="right"/>
              <w:rPr>
                <w:rFonts w:ascii="Arial" w:hAnsi="Arial" w:cs="Arial"/>
              </w:rPr>
            </w:pPr>
            <w:r w:rsidRPr="004C4F6D">
              <w:rPr>
                <w:rFonts w:ascii="Arial" w:hAnsi="Arial" w:cs="Arial"/>
              </w:rPr>
              <w:t>150,427,500.00</w:t>
            </w:r>
          </w:p>
        </w:tc>
      </w:tr>
      <w:tr w:rsidR="00312FC6" w:rsidRPr="004C4F6D" w14:paraId="291CD2BB" w14:textId="77777777" w:rsidTr="002F1504">
        <w:trPr>
          <w:trHeight w:val="262"/>
        </w:trPr>
        <w:tc>
          <w:tcPr>
            <w:tcW w:w="2584" w:type="dxa"/>
            <w:tcBorders>
              <w:top w:val="single" w:sz="4" w:space="0" w:color="auto"/>
              <w:bottom w:val="double" w:sz="4" w:space="0" w:color="auto"/>
            </w:tcBorders>
          </w:tcPr>
          <w:p w14:paraId="0F85E21F" w14:textId="4FDCB284" w:rsidR="00312FC6" w:rsidRPr="004C4F6D" w:rsidRDefault="00FB148C" w:rsidP="004C4F6D">
            <w:pPr>
              <w:spacing w:after="0" w:line="240" w:lineRule="auto"/>
              <w:jc w:val="both"/>
              <w:rPr>
                <w:rFonts w:ascii="Arial" w:hAnsi="Arial" w:cs="Arial"/>
              </w:rPr>
            </w:pPr>
            <w:r w:rsidRPr="004C4F6D">
              <w:rPr>
                <w:rFonts w:ascii="Arial" w:hAnsi="Arial" w:cs="Arial"/>
              </w:rPr>
              <w:t>Total</w:t>
            </w:r>
          </w:p>
        </w:tc>
        <w:tc>
          <w:tcPr>
            <w:tcW w:w="2754" w:type="dxa"/>
            <w:tcBorders>
              <w:top w:val="single" w:sz="4" w:space="0" w:color="auto"/>
              <w:bottom w:val="double" w:sz="4" w:space="0" w:color="auto"/>
            </w:tcBorders>
          </w:tcPr>
          <w:p w14:paraId="1E407031" w14:textId="11FA013E" w:rsidR="00312FC6" w:rsidRPr="004C4F6D" w:rsidRDefault="003919DE" w:rsidP="004C4F6D">
            <w:pPr>
              <w:spacing w:after="0" w:line="240" w:lineRule="auto"/>
              <w:jc w:val="right"/>
              <w:rPr>
                <w:rFonts w:ascii="Arial" w:hAnsi="Arial" w:cs="Arial"/>
              </w:rPr>
            </w:pPr>
            <w:r w:rsidRPr="004C4F6D">
              <w:rPr>
                <w:rFonts w:ascii="Arial" w:hAnsi="Arial" w:cs="Arial"/>
              </w:rPr>
              <w:t>401,140,000.00</w:t>
            </w:r>
          </w:p>
        </w:tc>
      </w:tr>
    </w:tbl>
    <w:p w14:paraId="51CD1BFC" w14:textId="77777777" w:rsidR="00312FC6" w:rsidRPr="004C4F6D" w:rsidRDefault="00312FC6" w:rsidP="004C4F6D">
      <w:pPr>
        <w:spacing w:after="0" w:line="240" w:lineRule="auto"/>
        <w:jc w:val="both"/>
        <w:rPr>
          <w:rFonts w:ascii="Arial" w:eastAsia="Arial Narrow" w:hAnsi="Arial" w:cs="Arial"/>
          <w:color w:val="000000"/>
        </w:rPr>
      </w:pPr>
    </w:p>
    <w:p w14:paraId="44B77A66" w14:textId="77777777" w:rsidR="00312FC6" w:rsidRPr="004C4F6D" w:rsidRDefault="00312FC6" w:rsidP="004C4F6D">
      <w:pPr>
        <w:spacing w:after="0" w:line="240" w:lineRule="auto"/>
        <w:jc w:val="both"/>
        <w:rPr>
          <w:rFonts w:ascii="Arial" w:hAnsi="Arial" w:cs="Arial"/>
        </w:rPr>
      </w:pPr>
    </w:p>
    <w:p w14:paraId="4DDF6B74" w14:textId="77777777" w:rsidR="00312FC6" w:rsidRPr="004C4F6D" w:rsidRDefault="00312FC6" w:rsidP="004C4F6D">
      <w:pPr>
        <w:pStyle w:val="ListParagraph"/>
        <w:spacing w:after="0" w:line="240" w:lineRule="auto"/>
        <w:ind w:left="1502"/>
        <w:jc w:val="both"/>
        <w:rPr>
          <w:rFonts w:ascii="Arial" w:hAnsi="Arial" w:cs="Arial"/>
        </w:rPr>
      </w:pPr>
    </w:p>
    <w:p w14:paraId="0F2A1729" w14:textId="77777777" w:rsidR="00312FC6" w:rsidRPr="004C4F6D" w:rsidRDefault="00312FC6" w:rsidP="004C4F6D">
      <w:pPr>
        <w:pStyle w:val="ListParagraph"/>
        <w:spacing w:after="0" w:line="240" w:lineRule="auto"/>
        <w:ind w:left="1502"/>
        <w:jc w:val="both"/>
        <w:rPr>
          <w:rFonts w:ascii="Arial" w:hAnsi="Arial" w:cs="Arial"/>
        </w:rPr>
      </w:pPr>
    </w:p>
    <w:p w14:paraId="5CC74773" w14:textId="77777777" w:rsidR="00312FC6" w:rsidRPr="004C4F6D" w:rsidRDefault="00312FC6" w:rsidP="004C4F6D">
      <w:pPr>
        <w:pStyle w:val="ListParagraph"/>
        <w:spacing w:after="0" w:line="240" w:lineRule="auto"/>
        <w:ind w:left="1502"/>
        <w:jc w:val="both"/>
        <w:rPr>
          <w:rFonts w:ascii="Arial" w:hAnsi="Arial" w:cs="Arial"/>
        </w:rPr>
      </w:pPr>
    </w:p>
    <w:p w14:paraId="640CF286" w14:textId="77777777" w:rsidR="00312FC6" w:rsidRPr="004C4F6D" w:rsidRDefault="00312FC6" w:rsidP="004C4F6D">
      <w:pPr>
        <w:pStyle w:val="ListParagraph"/>
        <w:spacing w:after="0" w:line="240" w:lineRule="auto"/>
        <w:ind w:left="1502"/>
        <w:jc w:val="both"/>
        <w:rPr>
          <w:rFonts w:ascii="Arial" w:hAnsi="Arial" w:cs="Arial"/>
        </w:rPr>
      </w:pPr>
    </w:p>
    <w:p w14:paraId="5FC0E029" w14:textId="77777777" w:rsidR="00312FC6" w:rsidRPr="004C4F6D" w:rsidRDefault="00312FC6" w:rsidP="004C4F6D">
      <w:pPr>
        <w:pStyle w:val="ListParagraph"/>
        <w:spacing w:after="0" w:line="240" w:lineRule="auto"/>
        <w:ind w:left="1502"/>
        <w:jc w:val="both"/>
        <w:rPr>
          <w:rFonts w:ascii="Arial" w:hAnsi="Arial" w:cs="Arial"/>
        </w:rPr>
      </w:pPr>
    </w:p>
    <w:p w14:paraId="05646ACD" w14:textId="77777777" w:rsidR="00312FC6" w:rsidRPr="004C4F6D" w:rsidRDefault="003919DE" w:rsidP="004C4F6D">
      <w:pPr>
        <w:pStyle w:val="ListParagraph"/>
        <w:spacing w:after="0" w:line="240" w:lineRule="auto"/>
        <w:ind w:left="993"/>
        <w:jc w:val="both"/>
        <w:rPr>
          <w:rFonts w:ascii="Arial" w:eastAsia="Arial Narrow" w:hAnsi="Arial" w:cs="Arial"/>
        </w:rPr>
      </w:pPr>
      <w:r w:rsidRPr="004C4F6D">
        <w:rPr>
          <w:rFonts w:ascii="Arial" w:hAnsi="Arial" w:cs="Arial"/>
        </w:rPr>
        <w:t>Upon instructions of the concerned LU, the outstanding balance will be processed via Outward Telegraphic Transfer (OTT) as soon as the supplier has completed delivery to the PNP</w:t>
      </w:r>
      <w:r w:rsidRPr="004C4F6D">
        <w:rPr>
          <w:rFonts w:ascii="Arial" w:eastAsia="Arial Narrow" w:hAnsi="Arial" w:cs="Arial"/>
          <w:color w:val="000000"/>
        </w:rPr>
        <w:t>.</w:t>
      </w:r>
    </w:p>
    <w:p w14:paraId="7861EF25" w14:textId="77777777" w:rsidR="00312FC6" w:rsidRPr="004C4F6D" w:rsidRDefault="00312FC6" w:rsidP="004C4F6D">
      <w:pPr>
        <w:pStyle w:val="ListParagraph"/>
        <w:spacing w:after="0" w:line="240" w:lineRule="auto"/>
        <w:ind w:left="1440"/>
        <w:jc w:val="both"/>
        <w:rPr>
          <w:rFonts w:ascii="Arial" w:eastAsia="Arial Narrow" w:hAnsi="Arial" w:cs="Arial"/>
        </w:rPr>
      </w:pPr>
    </w:p>
    <w:p w14:paraId="3E45169C" w14:textId="093186D2" w:rsidR="00FB148C" w:rsidRPr="004C4F6D" w:rsidRDefault="002805D4"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color w:val="000000"/>
        </w:rPr>
        <w:t>On the other hand</w:t>
      </w:r>
      <w:r w:rsidR="003919DE" w:rsidRPr="004C4F6D">
        <w:rPr>
          <w:rFonts w:ascii="Arial" w:eastAsia="Arial Narrow" w:hAnsi="Arial" w:cs="Arial"/>
          <w:color w:val="000000"/>
        </w:rPr>
        <w:t xml:space="preserve">, </w:t>
      </w:r>
      <w:r w:rsidRPr="004C4F6D">
        <w:rPr>
          <w:rFonts w:ascii="Arial" w:eastAsia="Arial Narrow" w:hAnsi="Arial" w:cs="Arial"/>
          <w:color w:val="000000"/>
        </w:rPr>
        <w:t xml:space="preserve">audit also revealed that </w:t>
      </w:r>
      <w:r w:rsidR="003919DE" w:rsidRPr="004C4F6D">
        <w:rPr>
          <w:rFonts w:ascii="Arial" w:eastAsia="Arial Narrow" w:hAnsi="Arial" w:cs="Arial"/>
          <w:color w:val="000000"/>
        </w:rPr>
        <w:t>several provisions o</w:t>
      </w:r>
      <w:r w:rsidRPr="004C4F6D">
        <w:rPr>
          <w:rFonts w:ascii="Arial" w:eastAsia="Arial Narrow" w:hAnsi="Arial" w:cs="Arial"/>
          <w:color w:val="000000"/>
        </w:rPr>
        <w:t>n</w:t>
      </w:r>
      <w:r w:rsidR="003919DE" w:rsidRPr="004C4F6D">
        <w:rPr>
          <w:rFonts w:ascii="Arial" w:eastAsia="Arial Narrow" w:hAnsi="Arial" w:cs="Arial"/>
          <w:color w:val="000000"/>
        </w:rPr>
        <w:t xml:space="preserve"> the </w:t>
      </w:r>
      <w:r w:rsidRPr="004C4F6D">
        <w:rPr>
          <w:rFonts w:ascii="Arial" w:eastAsia="Arial Narrow" w:hAnsi="Arial" w:cs="Arial"/>
          <w:color w:val="000000"/>
        </w:rPr>
        <w:t xml:space="preserve">handling of </w:t>
      </w:r>
      <w:r w:rsidR="003919DE" w:rsidRPr="004C4F6D">
        <w:rPr>
          <w:rFonts w:ascii="Arial" w:eastAsia="Arial Narrow" w:hAnsi="Arial" w:cs="Arial"/>
          <w:color w:val="000000"/>
        </w:rPr>
        <w:t>TC</w:t>
      </w:r>
      <w:r w:rsidRPr="004C4F6D">
        <w:rPr>
          <w:rFonts w:ascii="Arial" w:eastAsia="Arial Narrow" w:hAnsi="Arial" w:cs="Arial"/>
          <w:color w:val="000000"/>
        </w:rPr>
        <w:t>s</w:t>
      </w:r>
      <w:r w:rsidR="003919DE" w:rsidRPr="004C4F6D">
        <w:rPr>
          <w:rFonts w:ascii="Arial" w:eastAsia="Arial Narrow" w:hAnsi="Arial" w:cs="Arial"/>
          <w:color w:val="000000"/>
        </w:rPr>
        <w:t xml:space="preserve"> were </w:t>
      </w:r>
      <w:r w:rsidRPr="004C4F6D">
        <w:rPr>
          <w:rFonts w:ascii="Arial" w:eastAsia="Arial Narrow" w:hAnsi="Arial" w:cs="Arial"/>
          <w:color w:val="000000"/>
        </w:rPr>
        <w:t xml:space="preserve">also </w:t>
      </w:r>
      <w:r w:rsidR="003919DE" w:rsidRPr="004C4F6D">
        <w:rPr>
          <w:rFonts w:ascii="Arial" w:eastAsia="Arial Narrow" w:hAnsi="Arial" w:cs="Arial"/>
          <w:color w:val="000000"/>
        </w:rPr>
        <w:t xml:space="preserve">not complied </w:t>
      </w:r>
      <w:r w:rsidRPr="004C4F6D">
        <w:rPr>
          <w:rFonts w:ascii="Arial" w:eastAsia="Arial Narrow" w:hAnsi="Arial" w:cs="Arial"/>
          <w:color w:val="000000"/>
        </w:rPr>
        <w:t>as follows</w:t>
      </w:r>
      <w:r w:rsidR="00FB148C" w:rsidRPr="004C4F6D">
        <w:rPr>
          <w:rFonts w:ascii="Arial" w:eastAsia="Arial Narrow" w:hAnsi="Arial" w:cs="Arial"/>
          <w:color w:val="000000"/>
        </w:rPr>
        <w:t>:</w:t>
      </w:r>
    </w:p>
    <w:p w14:paraId="5F26D302" w14:textId="67EB0DAC" w:rsidR="00FB148C" w:rsidRPr="004C4F6D" w:rsidRDefault="00FB148C" w:rsidP="004C4F6D">
      <w:pPr>
        <w:pStyle w:val="ListParagraph"/>
        <w:numPr>
          <w:ilvl w:val="4"/>
          <w:numId w:val="25"/>
        </w:numPr>
        <w:autoSpaceDE w:val="0"/>
        <w:autoSpaceDN w:val="0"/>
        <w:adjustRightInd w:val="0"/>
        <w:spacing w:after="0" w:line="240" w:lineRule="auto"/>
        <w:ind w:left="1080"/>
        <w:jc w:val="both"/>
        <w:rPr>
          <w:rFonts w:ascii="Arial" w:eastAsia="Arial Narrow" w:hAnsi="Arial" w:cs="Arial"/>
        </w:rPr>
      </w:pPr>
      <w:r w:rsidRPr="004C4F6D">
        <w:rPr>
          <w:rFonts w:ascii="Arial" w:eastAsia="Arial Narrow" w:hAnsi="Arial" w:cs="Arial"/>
          <w:color w:val="000000"/>
        </w:rPr>
        <w:lastRenderedPageBreak/>
        <w:t xml:space="preserve">Expired LCs totaling P99,116,305.76 that were previously opened by NGAs </w:t>
      </w:r>
      <w:r w:rsidRPr="004C4F6D">
        <w:rPr>
          <w:rFonts w:ascii="Arial" w:eastAsia="Arial Narrow" w:hAnsi="Arial" w:cs="Arial"/>
          <w:i/>
          <w:color w:val="000000"/>
        </w:rPr>
        <w:t>for domestic procurement</w:t>
      </w:r>
      <w:r w:rsidRPr="004C4F6D">
        <w:rPr>
          <w:rFonts w:ascii="Arial" w:eastAsia="Arial Narrow" w:hAnsi="Arial" w:cs="Arial"/>
          <w:color w:val="000000"/>
        </w:rPr>
        <w:t xml:space="preserve">, should no longer be amended/extended; and consequently, be remitted to the BTr, pursuant to </w:t>
      </w:r>
      <w:r w:rsidR="001C0DF0" w:rsidRPr="004C4F6D">
        <w:rPr>
          <w:rFonts w:ascii="Arial" w:eastAsia="Arial Narrow" w:hAnsi="Arial" w:cs="Arial"/>
          <w:color w:val="000000"/>
        </w:rPr>
        <w:t xml:space="preserve">Item </w:t>
      </w:r>
      <w:r w:rsidRPr="004C4F6D">
        <w:rPr>
          <w:rFonts w:ascii="Arial" w:eastAsia="Arial Narrow" w:hAnsi="Arial" w:cs="Arial"/>
          <w:color w:val="000000"/>
        </w:rPr>
        <w:t xml:space="preserve">4.1 of the TC, which limits the use of LCs </w:t>
      </w:r>
      <w:r w:rsidRPr="004C4F6D">
        <w:rPr>
          <w:rFonts w:ascii="Arial" w:eastAsia="Arial Narrow" w:hAnsi="Arial" w:cs="Arial"/>
          <w:i/>
          <w:color w:val="000000"/>
        </w:rPr>
        <w:t xml:space="preserve">to foreign importation. </w:t>
      </w:r>
      <w:r w:rsidRPr="004C4F6D">
        <w:rPr>
          <w:rFonts w:ascii="Arial" w:eastAsia="Arial Narrow" w:hAnsi="Arial" w:cs="Arial"/>
          <w:color w:val="000000"/>
        </w:rPr>
        <w:t>Details are as follows:</w:t>
      </w:r>
    </w:p>
    <w:tbl>
      <w:tblPr>
        <w:tblpPr w:leftFromText="180" w:rightFromText="180" w:vertAnchor="text" w:horzAnchor="margin" w:tblpXSpec="right" w:tblpY="150"/>
        <w:tblW w:w="7520" w:type="dxa"/>
        <w:tblLayout w:type="fixed"/>
        <w:tblLook w:val="04A0" w:firstRow="1" w:lastRow="0" w:firstColumn="1" w:lastColumn="0" w:noHBand="0" w:noVBand="1"/>
      </w:tblPr>
      <w:tblGrid>
        <w:gridCol w:w="2790"/>
        <w:gridCol w:w="1530"/>
        <w:gridCol w:w="1440"/>
        <w:gridCol w:w="1760"/>
      </w:tblGrid>
      <w:tr w:rsidR="00FB148C" w:rsidRPr="004C4F6D" w14:paraId="344CD34E" w14:textId="77777777" w:rsidTr="002F1504">
        <w:trPr>
          <w:trHeight w:val="282"/>
          <w:tblHeader/>
        </w:trPr>
        <w:tc>
          <w:tcPr>
            <w:tcW w:w="2790" w:type="dxa"/>
            <w:tcBorders>
              <w:top w:val="single" w:sz="4" w:space="0" w:color="auto"/>
              <w:bottom w:val="single" w:sz="4" w:space="0" w:color="auto"/>
            </w:tcBorders>
            <w:shd w:val="clear" w:color="auto" w:fill="auto"/>
          </w:tcPr>
          <w:p w14:paraId="6F79DD73" w14:textId="02FC3D5B"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NGA</w:t>
            </w:r>
            <w:r w:rsidR="00CE6C4F" w:rsidRPr="004C4F6D">
              <w:rPr>
                <w:rFonts w:ascii="Arial" w:eastAsia="Arial Narrow" w:hAnsi="Arial" w:cs="Arial"/>
                <w:b/>
                <w:color w:val="000000"/>
                <w:sz w:val="20"/>
                <w:szCs w:val="20"/>
                <w:lang w:eastAsia="en-PH"/>
              </w:rPr>
              <w:t>s</w:t>
            </w:r>
          </w:p>
        </w:tc>
        <w:tc>
          <w:tcPr>
            <w:tcW w:w="1530" w:type="dxa"/>
            <w:tcBorders>
              <w:top w:val="single" w:sz="4" w:space="0" w:color="auto"/>
              <w:bottom w:val="single" w:sz="4" w:space="0" w:color="auto"/>
            </w:tcBorders>
            <w:shd w:val="clear" w:color="auto" w:fill="auto"/>
          </w:tcPr>
          <w:p w14:paraId="313169EF"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Booking Date</w:t>
            </w:r>
          </w:p>
        </w:tc>
        <w:tc>
          <w:tcPr>
            <w:tcW w:w="1440" w:type="dxa"/>
            <w:tcBorders>
              <w:top w:val="single" w:sz="4" w:space="0" w:color="auto"/>
              <w:bottom w:val="single" w:sz="4" w:space="0" w:color="auto"/>
            </w:tcBorders>
            <w:shd w:val="clear" w:color="auto" w:fill="auto"/>
          </w:tcPr>
          <w:p w14:paraId="4FB9B18B"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Expiry Date</w:t>
            </w:r>
          </w:p>
        </w:tc>
        <w:tc>
          <w:tcPr>
            <w:tcW w:w="1760" w:type="dxa"/>
            <w:tcBorders>
              <w:top w:val="single" w:sz="4" w:space="0" w:color="auto"/>
              <w:bottom w:val="single" w:sz="4" w:space="0" w:color="auto"/>
            </w:tcBorders>
            <w:shd w:val="clear" w:color="auto" w:fill="auto"/>
          </w:tcPr>
          <w:p w14:paraId="21DCF26C"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Amount</w:t>
            </w:r>
          </w:p>
        </w:tc>
      </w:tr>
      <w:tr w:rsidR="00FB148C" w:rsidRPr="004C4F6D" w14:paraId="4B420C26" w14:textId="77777777" w:rsidTr="002F1504">
        <w:trPr>
          <w:trHeight w:val="282"/>
        </w:trPr>
        <w:tc>
          <w:tcPr>
            <w:tcW w:w="7520" w:type="dxa"/>
            <w:gridSpan w:val="4"/>
            <w:tcBorders>
              <w:top w:val="single" w:sz="4" w:space="0" w:color="auto"/>
              <w:bottom w:val="single" w:sz="4" w:space="0" w:color="auto"/>
            </w:tcBorders>
            <w:shd w:val="clear" w:color="auto" w:fill="auto"/>
          </w:tcPr>
          <w:p w14:paraId="0253286A" w14:textId="77777777" w:rsidR="00FB148C" w:rsidRPr="004C4F6D" w:rsidRDefault="00FB148C" w:rsidP="004C4F6D">
            <w:pPr>
              <w:spacing w:after="0" w:line="240" w:lineRule="auto"/>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Marginal Deposits on Domestic LCs</w:t>
            </w:r>
          </w:p>
        </w:tc>
      </w:tr>
      <w:tr w:rsidR="00FB148C" w:rsidRPr="004C4F6D" w14:paraId="1A50D8C0" w14:textId="77777777" w:rsidTr="002F1504">
        <w:trPr>
          <w:trHeight w:val="243"/>
        </w:trPr>
        <w:tc>
          <w:tcPr>
            <w:tcW w:w="2790" w:type="dxa"/>
            <w:tcBorders>
              <w:top w:val="single" w:sz="4" w:space="0" w:color="auto"/>
            </w:tcBorders>
            <w:shd w:val="clear" w:color="auto" w:fill="auto"/>
            <w:vAlign w:val="center"/>
          </w:tcPr>
          <w:p w14:paraId="3FD8FD00" w14:textId="77777777" w:rsidR="00FB148C" w:rsidRPr="004C4F6D" w:rsidRDefault="00FB148C"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*DND/ Armed Forces of the Philippines </w:t>
            </w:r>
          </w:p>
        </w:tc>
        <w:tc>
          <w:tcPr>
            <w:tcW w:w="1530" w:type="dxa"/>
            <w:tcBorders>
              <w:top w:val="single" w:sz="4" w:space="0" w:color="auto"/>
            </w:tcBorders>
            <w:shd w:val="clear" w:color="auto" w:fill="auto"/>
            <w:vAlign w:val="center"/>
          </w:tcPr>
          <w:p w14:paraId="026EC8C3"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12-Jul-16</w:t>
            </w:r>
          </w:p>
        </w:tc>
        <w:tc>
          <w:tcPr>
            <w:tcW w:w="1440" w:type="dxa"/>
            <w:tcBorders>
              <w:top w:val="single" w:sz="4" w:space="0" w:color="auto"/>
            </w:tcBorders>
            <w:shd w:val="clear" w:color="auto" w:fill="auto"/>
            <w:vAlign w:val="center"/>
          </w:tcPr>
          <w:p w14:paraId="6F18998F"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30-Apr-21</w:t>
            </w:r>
          </w:p>
        </w:tc>
        <w:tc>
          <w:tcPr>
            <w:tcW w:w="1760" w:type="dxa"/>
            <w:tcBorders>
              <w:top w:val="single" w:sz="4" w:space="0" w:color="auto"/>
            </w:tcBorders>
            <w:shd w:val="clear" w:color="auto" w:fill="auto"/>
            <w:vAlign w:val="center"/>
          </w:tcPr>
          <w:p w14:paraId="1DC7F00D" w14:textId="4C0DE23B" w:rsidR="00FB148C" w:rsidRPr="004C4F6D" w:rsidRDefault="00FB148C"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   63,088,481.23 </w:t>
            </w:r>
          </w:p>
        </w:tc>
      </w:tr>
      <w:tr w:rsidR="00FB148C" w:rsidRPr="004C4F6D" w14:paraId="3EBE990A" w14:textId="77777777" w:rsidTr="002F1504">
        <w:trPr>
          <w:trHeight w:val="243"/>
        </w:trPr>
        <w:tc>
          <w:tcPr>
            <w:tcW w:w="2790" w:type="dxa"/>
            <w:shd w:val="clear" w:color="auto" w:fill="auto"/>
            <w:vAlign w:val="center"/>
          </w:tcPr>
          <w:p w14:paraId="2A97EFCE" w14:textId="77777777" w:rsidR="00FB148C" w:rsidRPr="004C4F6D" w:rsidRDefault="00FB148C"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Armed Forces of the Philippines </w:t>
            </w:r>
          </w:p>
        </w:tc>
        <w:tc>
          <w:tcPr>
            <w:tcW w:w="1530" w:type="dxa"/>
            <w:shd w:val="clear" w:color="auto" w:fill="auto"/>
            <w:vAlign w:val="center"/>
          </w:tcPr>
          <w:p w14:paraId="21D77234"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03-May-17</w:t>
            </w:r>
          </w:p>
        </w:tc>
        <w:tc>
          <w:tcPr>
            <w:tcW w:w="1440" w:type="dxa"/>
            <w:shd w:val="clear" w:color="auto" w:fill="auto"/>
            <w:vAlign w:val="center"/>
          </w:tcPr>
          <w:p w14:paraId="6144E97D"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21-Sep-22</w:t>
            </w:r>
          </w:p>
        </w:tc>
        <w:tc>
          <w:tcPr>
            <w:tcW w:w="1760" w:type="dxa"/>
            <w:shd w:val="clear" w:color="auto" w:fill="auto"/>
            <w:vAlign w:val="center"/>
          </w:tcPr>
          <w:p w14:paraId="2BBE4DE2" w14:textId="4BACD743" w:rsidR="00FB148C" w:rsidRPr="004C4F6D" w:rsidRDefault="00FB148C"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     2,836,884.72 </w:t>
            </w:r>
          </w:p>
        </w:tc>
      </w:tr>
      <w:tr w:rsidR="00FB148C" w:rsidRPr="004C4F6D" w14:paraId="3B3760F7" w14:textId="77777777" w:rsidTr="002F1504">
        <w:trPr>
          <w:trHeight w:val="243"/>
        </w:trPr>
        <w:tc>
          <w:tcPr>
            <w:tcW w:w="2790" w:type="dxa"/>
            <w:shd w:val="clear" w:color="auto" w:fill="auto"/>
            <w:vAlign w:val="center"/>
          </w:tcPr>
          <w:p w14:paraId="3101E87B" w14:textId="77777777" w:rsidR="00FB148C" w:rsidRPr="004C4F6D" w:rsidRDefault="00FB148C"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Armed Forces of the Philippines </w:t>
            </w:r>
          </w:p>
        </w:tc>
        <w:tc>
          <w:tcPr>
            <w:tcW w:w="1530" w:type="dxa"/>
            <w:shd w:val="clear" w:color="auto" w:fill="auto"/>
            <w:vAlign w:val="center"/>
          </w:tcPr>
          <w:p w14:paraId="314073FA"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28-Dec-18</w:t>
            </w:r>
          </w:p>
        </w:tc>
        <w:tc>
          <w:tcPr>
            <w:tcW w:w="1440" w:type="dxa"/>
            <w:shd w:val="clear" w:color="auto" w:fill="auto"/>
            <w:vAlign w:val="center"/>
          </w:tcPr>
          <w:p w14:paraId="10AE07A1"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28-Nov-22</w:t>
            </w:r>
          </w:p>
        </w:tc>
        <w:tc>
          <w:tcPr>
            <w:tcW w:w="1760" w:type="dxa"/>
            <w:shd w:val="clear" w:color="auto" w:fill="auto"/>
            <w:vAlign w:val="center"/>
          </w:tcPr>
          <w:p w14:paraId="7F675BBD" w14:textId="40CAF969" w:rsidR="00FB148C" w:rsidRPr="004C4F6D" w:rsidRDefault="00FB148C"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    21,346,450.00 </w:t>
            </w:r>
          </w:p>
        </w:tc>
      </w:tr>
      <w:tr w:rsidR="00FB148C" w:rsidRPr="004C4F6D" w14:paraId="1E8B8F19" w14:textId="77777777" w:rsidTr="002F1504">
        <w:trPr>
          <w:trHeight w:val="243"/>
        </w:trPr>
        <w:tc>
          <w:tcPr>
            <w:tcW w:w="2790" w:type="dxa"/>
            <w:shd w:val="clear" w:color="auto" w:fill="auto"/>
            <w:vAlign w:val="center"/>
          </w:tcPr>
          <w:p w14:paraId="568FAE95" w14:textId="77777777" w:rsidR="00FB148C" w:rsidRPr="004C4F6D" w:rsidRDefault="00FB148C"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Armed Forces of the Philippines </w:t>
            </w:r>
          </w:p>
        </w:tc>
        <w:tc>
          <w:tcPr>
            <w:tcW w:w="1530" w:type="dxa"/>
            <w:shd w:val="clear" w:color="auto" w:fill="auto"/>
            <w:vAlign w:val="center"/>
          </w:tcPr>
          <w:p w14:paraId="61297593"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10-May-19</w:t>
            </w:r>
          </w:p>
        </w:tc>
        <w:tc>
          <w:tcPr>
            <w:tcW w:w="1440" w:type="dxa"/>
            <w:shd w:val="clear" w:color="auto" w:fill="auto"/>
            <w:vAlign w:val="center"/>
          </w:tcPr>
          <w:p w14:paraId="0E907461"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31-Dec-20</w:t>
            </w:r>
          </w:p>
        </w:tc>
        <w:tc>
          <w:tcPr>
            <w:tcW w:w="1760" w:type="dxa"/>
            <w:shd w:val="clear" w:color="auto" w:fill="auto"/>
            <w:vAlign w:val="center"/>
          </w:tcPr>
          <w:p w14:paraId="56CD56E6" w14:textId="45CF0357" w:rsidR="00FB148C" w:rsidRPr="004C4F6D" w:rsidRDefault="00FB148C"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      9,488,578.02 </w:t>
            </w:r>
          </w:p>
        </w:tc>
      </w:tr>
      <w:tr w:rsidR="00FB148C" w:rsidRPr="004C4F6D" w14:paraId="0A313FC7" w14:textId="77777777" w:rsidTr="002F1504">
        <w:trPr>
          <w:trHeight w:val="237"/>
        </w:trPr>
        <w:tc>
          <w:tcPr>
            <w:tcW w:w="2790" w:type="dxa"/>
            <w:tcBorders>
              <w:bottom w:val="single" w:sz="4" w:space="0" w:color="auto"/>
            </w:tcBorders>
            <w:shd w:val="clear" w:color="auto" w:fill="auto"/>
            <w:vAlign w:val="center"/>
          </w:tcPr>
          <w:p w14:paraId="6AFD67E1" w14:textId="77777777" w:rsidR="00FB148C" w:rsidRPr="004C4F6D" w:rsidRDefault="00FB148C"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DND/Armed Forces of the Philippines </w:t>
            </w:r>
          </w:p>
        </w:tc>
        <w:tc>
          <w:tcPr>
            <w:tcW w:w="1530" w:type="dxa"/>
            <w:tcBorders>
              <w:bottom w:val="single" w:sz="4" w:space="0" w:color="auto"/>
            </w:tcBorders>
            <w:shd w:val="clear" w:color="auto" w:fill="auto"/>
            <w:vAlign w:val="center"/>
          </w:tcPr>
          <w:p w14:paraId="16870C9D"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16-Nov-18</w:t>
            </w:r>
          </w:p>
        </w:tc>
        <w:tc>
          <w:tcPr>
            <w:tcW w:w="1440" w:type="dxa"/>
            <w:tcBorders>
              <w:bottom w:val="single" w:sz="4" w:space="0" w:color="auto"/>
            </w:tcBorders>
            <w:shd w:val="clear" w:color="auto" w:fill="auto"/>
            <w:vAlign w:val="center"/>
          </w:tcPr>
          <w:p w14:paraId="55FBAFD6"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13-Aug-19</w:t>
            </w:r>
          </w:p>
        </w:tc>
        <w:tc>
          <w:tcPr>
            <w:tcW w:w="1760" w:type="dxa"/>
            <w:tcBorders>
              <w:bottom w:val="single" w:sz="4" w:space="0" w:color="auto"/>
            </w:tcBorders>
            <w:shd w:val="clear" w:color="auto" w:fill="auto"/>
            <w:vAlign w:val="center"/>
          </w:tcPr>
          <w:p w14:paraId="3395858D" w14:textId="77777777" w:rsidR="00FB148C" w:rsidRPr="004C4F6D" w:rsidRDefault="00FB148C"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color w:val="000000"/>
                <w:sz w:val="20"/>
                <w:szCs w:val="20"/>
                <w:lang w:eastAsia="en-PH"/>
              </w:rPr>
              <w:t xml:space="preserve">           2,355,911.79 </w:t>
            </w:r>
          </w:p>
        </w:tc>
      </w:tr>
      <w:tr w:rsidR="00FB148C" w:rsidRPr="004C4F6D" w14:paraId="62384329" w14:textId="77777777" w:rsidTr="002F1504">
        <w:trPr>
          <w:trHeight w:val="243"/>
        </w:trPr>
        <w:tc>
          <w:tcPr>
            <w:tcW w:w="2790" w:type="dxa"/>
            <w:tcBorders>
              <w:top w:val="single" w:sz="4" w:space="0" w:color="auto"/>
              <w:bottom w:val="double" w:sz="4" w:space="0" w:color="auto"/>
            </w:tcBorders>
            <w:shd w:val="clear" w:color="auto" w:fill="auto"/>
            <w:vAlign w:val="center"/>
          </w:tcPr>
          <w:p w14:paraId="1E6868B2" w14:textId="77777777" w:rsidR="00FB148C" w:rsidRPr="004C4F6D" w:rsidRDefault="00FB148C" w:rsidP="004C4F6D">
            <w:pPr>
              <w:spacing w:after="0" w:line="240" w:lineRule="auto"/>
              <w:jc w:val="both"/>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Total</w:t>
            </w:r>
          </w:p>
        </w:tc>
        <w:tc>
          <w:tcPr>
            <w:tcW w:w="1530" w:type="dxa"/>
            <w:tcBorders>
              <w:top w:val="single" w:sz="4" w:space="0" w:color="auto"/>
              <w:bottom w:val="double" w:sz="4" w:space="0" w:color="auto"/>
            </w:tcBorders>
            <w:shd w:val="clear" w:color="auto" w:fill="auto"/>
            <w:vAlign w:val="center"/>
          </w:tcPr>
          <w:p w14:paraId="26853F5F"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p>
        </w:tc>
        <w:tc>
          <w:tcPr>
            <w:tcW w:w="1440" w:type="dxa"/>
            <w:tcBorders>
              <w:top w:val="single" w:sz="4" w:space="0" w:color="auto"/>
              <w:bottom w:val="double" w:sz="4" w:space="0" w:color="auto"/>
            </w:tcBorders>
            <w:shd w:val="clear" w:color="auto" w:fill="auto"/>
            <w:vAlign w:val="center"/>
          </w:tcPr>
          <w:p w14:paraId="60DCD6A8" w14:textId="77777777" w:rsidR="00FB148C" w:rsidRPr="004C4F6D" w:rsidRDefault="00FB148C" w:rsidP="004C4F6D">
            <w:pPr>
              <w:spacing w:after="0" w:line="240" w:lineRule="auto"/>
              <w:jc w:val="center"/>
              <w:rPr>
                <w:rFonts w:ascii="Arial" w:eastAsia="Arial Narrow" w:hAnsi="Arial" w:cs="Arial"/>
                <w:color w:val="000000"/>
                <w:sz w:val="20"/>
                <w:szCs w:val="20"/>
                <w:lang w:eastAsia="en-PH"/>
              </w:rPr>
            </w:pPr>
          </w:p>
        </w:tc>
        <w:tc>
          <w:tcPr>
            <w:tcW w:w="1760" w:type="dxa"/>
            <w:tcBorders>
              <w:top w:val="single" w:sz="4" w:space="0" w:color="auto"/>
              <w:bottom w:val="double" w:sz="4" w:space="0" w:color="auto"/>
            </w:tcBorders>
            <w:shd w:val="clear" w:color="auto" w:fill="auto"/>
            <w:vAlign w:val="center"/>
          </w:tcPr>
          <w:p w14:paraId="1323DF40" w14:textId="2E7607E3" w:rsidR="00FB148C" w:rsidRPr="004C4F6D" w:rsidRDefault="00FB148C" w:rsidP="004C4F6D">
            <w:pPr>
              <w:spacing w:after="0" w:line="240" w:lineRule="auto"/>
              <w:jc w:val="right"/>
              <w:rPr>
                <w:rFonts w:ascii="Arial" w:eastAsia="Arial Narrow" w:hAnsi="Arial" w:cs="Arial"/>
                <w:color w:val="000000"/>
                <w:sz w:val="20"/>
                <w:szCs w:val="20"/>
                <w:lang w:eastAsia="en-PH"/>
              </w:rPr>
            </w:pPr>
            <w:r w:rsidRPr="004C4F6D">
              <w:rPr>
                <w:rFonts w:ascii="Arial" w:eastAsia="Arial Narrow" w:hAnsi="Arial" w:cs="Arial"/>
                <w:b/>
                <w:color w:val="000000"/>
                <w:sz w:val="20"/>
                <w:szCs w:val="20"/>
                <w:lang w:eastAsia="en-PH"/>
              </w:rPr>
              <w:t xml:space="preserve">   99,116,305.76</w:t>
            </w:r>
          </w:p>
        </w:tc>
      </w:tr>
    </w:tbl>
    <w:p w14:paraId="27DC16DA" w14:textId="77777777" w:rsidR="00DD52C2" w:rsidRPr="004C4F6D" w:rsidRDefault="00DD52C2" w:rsidP="004C4F6D">
      <w:pPr>
        <w:spacing w:after="0" w:line="240" w:lineRule="auto"/>
        <w:ind w:right="275"/>
        <w:jc w:val="both"/>
        <w:rPr>
          <w:rFonts w:ascii="Arial" w:eastAsia="Arial Narrow" w:hAnsi="Arial" w:cs="Arial"/>
          <w:sz w:val="16"/>
          <w:szCs w:val="16"/>
        </w:rPr>
      </w:pPr>
    </w:p>
    <w:p w14:paraId="01297432" w14:textId="77777777" w:rsidR="00DD52C2" w:rsidRPr="004C4F6D" w:rsidRDefault="00DD52C2" w:rsidP="004C4F6D">
      <w:pPr>
        <w:spacing w:after="0" w:line="240" w:lineRule="auto"/>
        <w:ind w:right="275"/>
        <w:jc w:val="both"/>
        <w:rPr>
          <w:rFonts w:ascii="Arial" w:eastAsia="Arial Narrow" w:hAnsi="Arial" w:cs="Arial"/>
          <w:sz w:val="16"/>
          <w:szCs w:val="16"/>
        </w:rPr>
      </w:pPr>
    </w:p>
    <w:p w14:paraId="263A2D62" w14:textId="77777777" w:rsidR="00DD52C2" w:rsidRPr="004C4F6D" w:rsidRDefault="00DD52C2" w:rsidP="004C4F6D">
      <w:pPr>
        <w:spacing w:after="0" w:line="240" w:lineRule="auto"/>
        <w:ind w:right="275"/>
        <w:jc w:val="both"/>
        <w:rPr>
          <w:rFonts w:ascii="Arial" w:eastAsia="Arial Narrow" w:hAnsi="Arial" w:cs="Arial"/>
          <w:sz w:val="16"/>
          <w:szCs w:val="16"/>
        </w:rPr>
      </w:pPr>
    </w:p>
    <w:p w14:paraId="056B870F" w14:textId="77777777" w:rsidR="00DD52C2" w:rsidRPr="004C4F6D" w:rsidRDefault="00DD52C2" w:rsidP="004C4F6D">
      <w:pPr>
        <w:spacing w:after="0" w:line="240" w:lineRule="auto"/>
        <w:ind w:right="275"/>
        <w:jc w:val="both"/>
        <w:rPr>
          <w:rFonts w:ascii="Arial" w:eastAsia="Arial Narrow" w:hAnsi="Arial" w:cs="Arial"/>
          <w:sz w:val="16"/>
          <w:szCs w:val="16"/>
        </w:rPr>
      </w:pPr>
    </w:p>
    <w:p w14:paraId="1A6F8EBE" w14:textId="77777777" w:rsidR="00DD52C2" w:rsidRPr="004C4F6D" w:rsidRDefault="00DD52C2" w:rsidP="004C4F6D">
      <w:pPr>
        <w:spacing w:after="0" w:line="240" w:lineRule="auto"/>
        <w:ind w:right="275"/>
        <w:jc w:val="both"/>
        <w:rPr>
          <w:rFonts w:ascii="Arial" w:eastAsia="Arial Narrow" w:hAnsi="Arial" w:cs="Arial"/>
          <w:sz w:val="16"/>
          <w:szCs w:val="16"/>
        </w:rPr>
      </w:pPr>
    </w:p>
    <w:p w14:paraId="36317F08" w14:textId="77777777" w:rsidR="00DD52C2" w:rsidRPr="004C4F6D" w:rsidRDefault="00DD52C2" w:rsidP="004C4F6D">
      <w:pPr>
        <w:spacing w:after="0" w:line="240" w:lineRule="auto"/>
        <w:ind w:right="275"/>
        <w:jc w:val="both"/>
        <w:rPr>
          <w:rFonts w:ascii="Arial" w:eastAsia="Arial Narrow" w:hAnsi="Arial" w:cs="Arial"/>
          <w:sz w:val="16"/>
          <w:szCs w:val="16"/>
        </w:rPr>
      </w:pPr>
    </w:p>
    <w:p w14:paraId="1856A075" w14:textId="77777777" w:rsidR="00DD52C2" w:rsidRPr="004C4F6D" w:rsidRDefault="00DD52C2" w:rsidP="004C4F6D">
      <w:pPr>
        <w:spacing w:after="0" w:line="240" w:lineRule="auto"/>
        <w:ind w:right="275"/>
        <w:jc w:val="both"/>
        <w:rPr>
          <w:rFonts w:ascii="Arial" w:eastAsia="Arial Narrow" w:hAnsi="Arial" w:cs="Arial"/>
          <w:sz w:val="16"/>
          <w:szCs w:val="16"/>
        </w:rPr>
      </w:pPr>
    </w:p>
    <w:p w14:paraId="4F092FA3" w14:textId="77777777" w:rsidR="00DD52C2" w:rsidRPr="004C4F6D" w:rsidRDefault="00DD52C2" w:rsidP="004C4F6D">
      <w:pPr>
        <w:spacing w:after="0" w:line="240" w:lineRule="auto"/>
        <w:ind w:right="275"/>
        <w:jc w:val="both"/>
        <w:rPr>
          <w:rFonts w:ascii="Arial" w:eastAsia="Arial Narrow" w:hAnsi="Arial" w:cs="Arial"/>
          <w:sz w:val="16"/>
          <w:szCs w:val="16"/>
        </w:rPr>
      </w:pPr>
    </w:p>
    <w:p w14:paraId="207B624E" w14:textId="77777777" w:rsidR="00DD52C2" w:rsidRPr="004C4F6D" w:rsidRDefault="00DD52C2" w:rsidP="004C4F6D">
      <w:pPr>
        <w:spacing w:after="0" w:line="240" w:lineRule="auto"/>
        <w:ind w:right="275"/>
        <w:jc w:val="both"/>
        <w:rPr>
          <w:rFonts w:ascii="Arial" w:eastAsia="Arial Narrow" w:hAnsi="Arial" w:cs="Arial"/>
          <w:sz w:val="16"/>
          <w:szCs w:val="16"/>
        </w:rPr>
      </w:pPr>
    </w:p>
    <w:p w14:paraId="7361D0CF" w14:textId="77777777" w:rsidR="00DD52C2" w:rsidRPr="004C4F6D" w:rsidRDefault="00DD52C2" w:rsidP="004C4F6D">
      <w:pPr>
        <w:spacing w:after="0" w:line="240" w:lineRule="auto"/>
        <w:ind w:right="275"/>
        <w:jc w:val="both"/>
        <w:rPr>
          <w:rFonts w:ascii="Arial" w:eastAsia="Arial Narrow" w:hAnsi="Arial" w:cs="Arial"/>
          <w:sz w:val="16"/>
          <w:szCs w:val="16"/>
        </w:rPr>
      </w:pPr>
    </w:p>
    <w:p w14:paraId="0F64E6C9" w14:textId="77777777" w:rsidR="00DD52C2" w:rsidRPr="004C4F6D" w:rsidRDefault="00DD52C2" w:rsidP="004C4F6D">
      <w:pPr>
        <w:spacing w:after="0" w:line="240" w:lineRule="auto"/>
        <w:ind w:right="275"/>
        <w:jc w:val="both"/>
        <w:rPr>
          <w:rFonts w:ascii="Arial" w:eastAsia="Arial Narrow" w:hAnsi="Arial" w:cs="Arial"/>
          <w:sz w:val="16"/>
          <w:szCs w:val="16"/>
        </w:rPr>
      </w:pPr>
    </w:p>
    <w:p w14:paraId="3D63F250" w14:textId="77777777" w:rsidR="00DD52C2" w:rsidRPr="004C4F6D" w:rsidRDefault="00DD52C2" w:rsidP="004C4F6D">
      <w:pPr>
        <w:spacing w:after="0" w:line="240" w:lineRule="auto"/>
        <w:ind w:right="275"/>
        <w:jc w:val="both"/>
        <w:rPr>
          <w:rFonts w:ascii="Arial" w:eastAsia="Arial Narrow" w:hAnsi="Arial" w:cs="Arial"/>
          <w:sz w:val="16"/>
          <w:szCs w:val="16"/>
        </w:rPr>
      </w:pPr>
    </w:p>
    <w:p w14:paraId="0B0E496A" w14:textId="77777777" w:rsidR="00DD52C2" w:rsidRPr="004C4F6D" w:rsidRDefault="00DD52C2" w:rsidP="004C4F6D">
      <w:pPr>
        <w:spacing w:after="0" w:line="240" w:lineRule="auto"/>
        <w:ind w:right="275"/>
        <w:jc w:val="both"/>
        <w:rPr>
          <w:rFonts w:ascii="Arial" w:eastAsia="Arial Narrow" w:hAnsi="Arial" w:cs="Arial"/>
          <w:sz w:val="16"/>
          <w:szCs w:val="16"/>
        </w:rPr>
      </w:pPr>
    </w:p>
    <w:p w14:paraId="1E1B1151" w14:textId="77777777" w:rsidR="00DD52C2" w:rsidRPr="004C4F6D" w:rsidRDefault="00DD52C2" w:rsidP="004C4F6D">
      <w:pPr>
        <w:spacing w:after="0" w:line="240" w:lineRule="auto"/>
        <w:ind w:right="275"/>
        <w:jc w:val="both"/>
        <w:rPr>
          <w:rFonts w:ascii="Arial" w:eastAsia="Arial Narrow" w:hAnsi="Arial" w:cs="Arial"/>
          <w:sz w:val="16"/>
          <w:szCs w:val="16"/>
        </w:rPr>
      </w:pPr>
    </w:p>
    <w:p w14:paraId="69481423" w14:textId="77777777" w:rsidR="00DD52C2" w:rsidRPr="004C4F6D" w:rsidRDefault="00DD52C2" w:rsidP="004C4F6D">
      <w:pPr>
        <w:spacing w:after="0" w:line="240" w:lineRule="auto"/>
        <w:ind w:right="275"/>
        <w:jc w:val="both"/>
        <w:rPr>
          <w:rFonts w:ascii="Arial" w:eastAsia="Arial Narrow" w:hAnsi="Arial" w:cs="Arial"/>
          <w:sz w:val="16"/>
          <w:szCs w:val="16"/>
        </w:rPr>
      </w:pPr>
    </w:p>
    <w:p w14:paraId="14EEFA1C" w14:textId="77777777" w:rsidR="00DD52C2" w:rsidRPr="004C4F6D" w:rsidRDefault="00DD52C2" w:rsidP="004C4F6D">
      <w:pPr>
        <w:spacing w:after="0" w:line="240" w:lineRule="auto"/>
        <w:ind w:right="275"/>
        <w:jc w:val="both"/>
        <w:rPr>
          <w:rFonts w:ascii="Arial" w:eastAsia="Arial Narrow" w:hAnsi="Arial" w:cs="Arial"/>
          <w:sz w:val="16"/>
          <w:szCs w:val="16"/>
        </w:rPr>
      </w:pPr>
    </w:p>
    <w:p w14:paraId="78144722" w14:textId="77777777" w:rsidR="00DD52C2" w:rsidRPr="004C4F6D" w:rsidRDefault="00DD52C2" w:rsidP="004C4F6D">
      <w:pPr>
        <w:spacing w:after="0" w:line="240" w:lineRule="auto"/>
        <w:ind w:right="275"/>
        <w:jc w:val="both"/>
        <w:rPr>
          <w:rFonts w:ascii="Arial" w:eastAsia="Arial Narrow" w:hAnsi="Arial" w:cs="Arial"/>
          <w:sz w:val="16"/>
          <w:szCs w:val="16"/>
        </w:rPr>
      </w:pPr>
    </w:p>
    <w:p w14:paraId="68699354" w14:textId="4531DACB" w:rsidR="00FB148C" w:rsidRPr="004C4F6D" w:rsidRDefault="00DD52C2" w:rsidP="004C4F6D">
      <w:pPr>
        <w:spacing w:after="0" w:line="240" w:lineRule="auto"/>
        <w:ind w:right="275"/>
        <w:jc w:val="both"/>
        <w:rPr>
          <w:rFonts w:ascii="Arial" w:eastAsia="Arial Narrow" w:hAnsi="Arial" w:cs="Arial"/>
          <w:color w:val="000000"/>
        </w:rPr>
      </w:pPr>
      <w:r w:rsidRPr="004C4F6D">
        <w:rPr>
          <w:rFonts w:ascii="Arial" w:eastAsia="Arial Narrow" w:hAnsi="Arial" w:cs="Arial"/>
          <w:sz w:val="16"/>
          <w:szCs w:val="16"/>
        </w:rPr>
        <w:t xml:space="preserve">    </w:t>
      </w:r>
    </w:p>
    <w:p w14:paraId="27A627BB" w14:textId="4246BD8F" w:rsidR="00DD52C2" w:rsidRPr="004C4F6D" w:rsidRDefault="00DD52C2" w:rsidP="004C4F6D">
      <w:pPr>
        <w:pStyle w:val="ListParagraph"/>
        <w:spacing w:after="0" w:line="240" w:lineRule="auto"/>
        <w:ind w:left="0" w:right="133"/>
        <w:jc w:val="both"/>
        <w:rPr>
          <w:rFonts w:ascii="Arial" w:eastAsia="Arial Narrow" w:hAnsi="Arial" w:cs="Arial"/>
          <w:sz w:val="16"/>
          <w:szCs w:val="16"/>
        </w:rPr>
      </w:pPr>
      <w:r w:rsidRPr="004C4F6D">
        <w:rPr>
          <w:rFonts w:ascii="Arial" w:eastAsia="Arial Narrow" w:hAnsi="Arial" w:cs="Arial"/>
          <w:sz w:val="16"/>
          <w:szCs w:val="16"/>
        </w:rPr>
        <w:t xml:space="preserve">                          *UCPB</w:t>
      </w:r>
    </w:p>
    <w:p w14:paraId="65BF823E" w14:textId="77777777" w:rsidR="00DD52C2" w:rsidRPr="004C4F6D" w:rsidRDefault="00DD52C2" w:rsidP="004C4F6D">
      <w:pPr>
        <w:pStyle w:val="ListParagraph"/>
        <w:autoSpaceDE w:val="0"/>
        <w:autoSpaceDN w:val="0"/>
        <w:adjustRightInd w:val="0"/>
        <w:spacing w:after="0" w:line="240" w:lineRule="auto"/>
        <w:ind w:left="1080"/>
        <w:jc w:val="both"/>
        <w:rPr>
          <w:rFonts w:ascii="Arial" w:eastAsia="Arial Narrow" w:hAnsi="Arial" w:cs="Arial"/>
          <w:color w:val="000000"/>
        </w:rPr>
      </w:pPr>
    </w:p>
    <w:p w14:paraId="3545E3A5" w14:textId="0F3306CE" w:rsidR="00FB148C" w:rsidRPr="004C4F6D" w:rsidRDefault="00FB148C" w:rsidP="004C4F6D">
      <w:pPr>
        <w:pStyle w:val="ListParagraph"/>
        <w:autoSpaceDE w:val="0"/>
        <w:autoSpaceDN w:val="0"/>
        <w:adjustRightInd w:val="0"/>
        <w:spacing w:after="0" w:line="240" w:lineRule="auto"/>
        <w:ind w:left="1080"/>
        <w:jc w:val="both"/>
        <w:rPr>
          <w:rFonts w:ascii="Arial" w:eastAsia="Arial Narrow" w:hAnsi="Arial" w:cs="Arial"/>
          <w:lang w:eastAsia="en-PH"/>
        </w:rPr>
      </w:pPr>
      <w:r w:rsidRPr="004C4F6D">
        <w:rPr>
          <w:rFonts w:ascii="Arial" w:eastAsia="Arial Narrow" w:hAnsi="Arial" w:cs="Arial"/>
          <w:color w:val="000000"/>
        </w:rPr>
        <w:t xml:space="preserve">Management informed that there is an exemption provided by the BTr for the above domestic procurement, however, no proof of exemption was provided. They added that a </w:t>
      </w:r>
      <w:r w:rsidRPr="004C4F6D">
        <w:rPr>
          <w:rFonts w:ascii="Arial" w:eastAsia="Arial Narrow" w:hAnsi="Arial" w:cs="Arial"/>
          <w:color w:val="000000"/>
          <w:lang w:eastAsia="en-PH"/>
        </w:rPr>
        <w:t>Public Sector Department (PSD) Memo</w:t>
      </w:r>
      <w:r w:rsidR="001C0DF0" w:rsidRPr="004C4F6D">
        <w:rPr>
          <w:rFonts w:ascii="Arial" w:eastAsia="Arial Narrow" w:hAnsi="Arial" w:cs="Arial"/>
          <w:color w:val="000000"/>
          <w:lang w:eastAsia="en-PH"/>
        </w:rPr>
        <w:t>randum</w:t>
      </w:r>
      <w:r w:rsidRPr="004C4F6D">
        <w:rPr>
          <w:rFonts w:ascii="Arial" w:eastAsia="Arial Narrow" w:hAnsi="Arial" w:cs="Arial"/>
          <w:color w:val="000000"/>
          <w:lang w:eastAsia="en-PH"/>
        </w:rPr>
        <w:t xml:space="preserve"> to ITD dated June 27, 2019 on the opening of Domestic Letters of Credit by various non-borrowing clients of PSD after the effectivity of the TC No. 3-2019 dated May 10, 2019, stating that the </w:t>
      </w:r>
      <w:r w:rsidR="001C0DF0" w:rsidRPr="004C4F6D">
        <w:rPr>
          <w:rFonts w:ascii="Arial" w:eastAsia="Arial Narrow" w:hAnsi="Arial" w:cs="Arial"/>
          <w:color w:val="000000"/>
          <w:lang w:eastAsia="en-PH"/>
        </w:rPr>
        <w:t>TC</w:t>
      </w:r>
      <w:r w:rsidRPr="004C4F6D">
        <w:rPr>
          <w:rFonts w:ascii="Arial" w:eastAsia="Arial Narrow" w:hAnsi="Arial" w:cs="Arial"/>
          <w:color w:val="000000"/>
          <w:lang w:eastAsia="en-PH"/>
        </w:rPr>
        <w:t xml:space="preserve"> will only cover prospective </w:t>
      </w:r>
      <w:r w:rsidR="001C0DF0" w:rsidRPr="004C4F6D">
        <w:rPr>
          <w:rFonts w:ascii="Arial" w:eastAsia="Arial Narrow" w:hAnsi="Arial" w:cs="Arial"/>
          <w:color w:val="000000"/>
          <w:lang w:eastAsia="en-PH"/>
        </w:rPr>
        <w:t>c</w:t>
      </w:r>
      <w:r w:rsidRPr="004C4F6D">
        <w:rPr>
          <w:rFonts w:ascii="Arial" w:eastAsia="Arial Narrow" w:hAnsi="Arial" w:cs="Arial"/>
          <w:color w:val="000000"/>
          <w:lang w:eastAsia="en-PH"/>
        </w:rPr>
        <w:t>ontracts and will not apply to contracts executed prior to its effectivity especially if the use of LC is stipulated in the contracts.</w:t>
      </w:r>
    </w:p>
    <w:p w14:paraId="52A9A864" w14:textId="77777777" w:rsidR="00FB148C" w:rsidRPr="004C4F6D" w:rsidRDefault="00FB148C" w:rsidP="004C4F6D">
      <w:pPr>
        <w:pStyle w:val="ListParagraph"/>
        <w:spacing w:after="0" w:line="240" w:lineRule="auto"/>
        <w:ind w:left="0" w:right="275"/>
        <w:jc w:val="both"/>
        <w:rPr>
          <w:rFonts w:ascii="Arial" w:eastAsia="Arial Narrow" w:hAnsi="Arial" w:cs="Arial"/>
          <w:color w:val="000000"/>
        </w:rPr>
      </w:pPr>
    </w:p>
    <w:p w14:paraId="51ADE9A1" w14:textId="3398C868" w:rsidR="00FB148C" w:rsidRPr="004C4F6D" w:rsidRDefault="00FB148C" w:rsidP="004C4F6D">
      <w:pPr>
        <w:pStyle w:val="ListParagraph"/>
        <w:numPr>
          <w:ilvl w:val="4"/>
          <w:numId w:val="25"/>
        </w:numPr>
        <w:autoSpaceDE w:val="0"/>
        <w:autoSpaceDN w:val="0"/>
        <w:adjustRightInd w:val="0"/>
        <w:spacing w:after="0" w:line="240" w:lineRule="auto"/>
        <w:ind w:left="1080"/>
        <w:jc w:val="both"/>
        <w:rPr>
          <w:rFonts w:ascii="Arial" w:eastAsia="Arial Narrow" w:hAnsi="Arial" w:cs="Arial"/>
          <w:color w:val="000000"/>
        </w:rPr>
      </w:pPr>
      <w:r w:rsidRPr="004C4F6D">
        <w:rPr>
          <w:rFonts w:ascii="Arial" w:eastAsia="Arial Narrow" w:hAnsi="Arial" w:cs="Arial"/>
        </w:rPr>
        <w:t>Management</w:t>
      </w:r>
      <w:r w:rsidRPr="004C4F6D">
        <w:rPr>
          <w:rFonts w:ascii="Arial" w:eastAsia="Arial Narrow" w:hAnsi="Arial" w:cs="Arial"/>
          <w:color w:val="000000"/>
        </w:rPr>
        <w:t xml:space="preserve"> did not provide BTr and DBM the required monthly status of outstanding LCs, contrary to </w:t>
      </w:r>
      <w:r w:rsidR="001C0DF0" w:rsidRPr="004C4F6D">
        <w:rPr>
          <w:rFonts w:ascii="Arial" w:eastAsia="Arial Narrow" w:hAnsi="Arial" w:cs="Arial"/>
          <w:color w:val="000000"/>
        </w:rPr>
        <w:t>I</w:t>
      </w:r>
      <w:r w:rsidRPr="004C4F6D">
        <w:rPr>
          <w:rFonts w:ascii="Arial" w:eastAsia="Arial Narrow" w:hAnsi="Arial" w:cs="Arial"/>
          <w:color w:val="000000"/>
        </w:rPr>
        <w:t>tem 4.6 of the TC.</w:t>
      </w:r>
    </w:p>
    <w:p w14:paraId="17E8B582" w14:textId="77777777" w:rsidR="00FB148C" w:rsidRPr="004C4F6D" w:rsidRDefault="00FB148C" w:rsidP="004C4F6D">
      <w:pPr>
        <w:pStyle w:val="ListParagraph"/>
        <w:spacing w:after="0" w:line="240" w:lineRule="auto"/>
        <w:ind w:left="0" w:right="275"/>
        <w:jc w:val="both"/>
        <w:rPr>
          <w:rFonts w:ascii="Arial" w:eastAsia="Arial Narrow" w:hAnsi="Arial" w:cs="Arial"/>
          <w:color w:val="000000"/>
        </w:rPr>
      </w:pPr>
    </w:p>
    <w:p w14:paraId="558804E8" w14:textId="77777777" w:rsidR="00FB148C" w:rsidRPr="004C4F6D" w:rsidRDefault="00FB148C" w:rsidP="004C4F6D">
      <w:pPr>
        <w:pStyle w:val="ListParagraph"/>
        <w:numPr>
          <w:ilvl w:val="4"/>
          <w:numId w:val="25"/>
        </w:numPr>
        <w:autoSpaceDE w:val="0"/>
        <w:autoSpaceDN w:val="0"/>
        <w:adjustRightInd w:val="0"/>
        <w:spacing w:after="0" w:line="240" w:lineRule="auto"/>
        <w:ind w:left="1080"/>
        <w:jc w:val="both"/>
        <w:rPr>
          <w:rFonts w:ascii="Arial" w:eastAsia="Arial Narrow" w:hAnsi="Arial" w:cs="Arial"/>
          <w:color w:val="000000"/>
        </w:rPr>
      </w:pPr>
      <w:r w:rsidRPr="004C4F6D">
        <w:rPr>
          <w:rFonts w:ascii="Arial" w:eastAsia="Arial Narrow" w:hAnsi="Arial" w:cs="Arial"/>
        </w:rPr>
        <w:t>No</w:t>
      </w:r>
      <w:r w:rsidRPr="004C4F6D">
        <w:rPr>
          <w:rFonts w:ascii="Arial" w:eastAsia="Arial Narrow" w:hAnsi="Arial" w:cs="Arial"/>
          <w:color w:val="000000"/>
        </w:rPr>
        <w:t xml:space="preserve"> new MOA was created between BTr and LBP to establish, standardize, and negotiate terms and conditions for all outstanding and new LCs of NGAs, contrary to items 5.3 and 4.2 of the TC.</w:t>
      </w:r>
    </w:p>
    <w:p w14:paraId="2E042801" w14:textId="77777777" w:rsidR="00FB148C" w:rsidRPr="004C4F6D" w:rsidRDefault="00FB148C" w:rsidP="004C4F6D">
      <w:pPr>
        <w:pStyle w:val="ListParagraph"/>
        <w:autoSpaceDE w:val="0"/>
        <w:autoSpaceDN w:val="0"/>
        <w:adjustRightInd w:val="0"/>
        <w:spacing w:after="0" w:line="240" w:lineRule="auto"/>
        <w:ind w:left="0"/>
        <w:jc w:val="both"/>
        <w:rPr>
          <w:rFonts w:ascii="Arial" w:eastAsia="Arial Narrow" w:hAnsi="Arial" w:cs="Arial"/>
        </w:rPr>
      </w:pPr>
    </w:p>
    <w:p w14:paraId="602052E1" w14:textId="074D00C5" w:rsidR="00312FC6" w:rsidRPr="004C4F6D" w:rsidRDefault="00FB148C"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t xml:space="preserve">Lastly, </w:t>
      </w:r>
      <w:r w:rsidR="003919DE" w:rsidRPr="004C4F6D">
        <w:rPr>
          <w:rFonts w:ascii="Arial" w:eastAsia="Arial Narrow" w:hAnsi="Arial" w:cs="Arial"/>
          <w:color w:val="000000"/>
        </w:rPr>
        <w:t xml:space="preserve">the existing MOA between NGAs and LBP, </w:t>
      </w:r>
      <w:r w:rsidRPr="004C4F6D">
        <w:rPr>
          <w:rFonts w:ascii="Arial" w:eastAsia="Arial Narrow" w:hAnsi="Arial" w:cs="Arial"/>
          <w:color w:val="000000"/>
        </w:rPr>
        <w:t>is not</w:t>
      </w:r>
      <w:r w:rsidR="003919DE" w:rsidRPr="004C4F6D">
        <w:rPr>
          <w:rFonts w:ascii="Arial" w:eastAsia="Arial Narrow" w:hAnsi="Arial" w:cs="Arial"/>
          <w:color w:val="000000"/>
        </w:rPr>
        <w:t xml:space="preserve"> </w:t>
      </w:r>
      <w:r w:rsidR="003919DE" w:rsidRPr="004C4F6D">
        <w:rPr>
          <w:rFonts w:ascii="Arial" w:eastAsia="Arial Narrow" w:hAnsi="Arial" w:cs="Arial"/>
        </w:rPr>
        <w:t>aligned</w:t>
      </w:r>
      <w:r w:rsidR="003919DE" w:rsidRPr="004C4F6D">
        <w:rPr>
          <w:rFonts w:ascii="Arial" w:eastAsia="Arial Narrow" w:hAnsi="Arial" w:cs="Arial"/>
          <w:color w:val="000000"/>
        </w:rPr>
        <w:t xml:space="preserve"> with the provisions of TC, to wit:</w:t>
      </w:r>
    </w:p>
    <w:p w14:paraId="53186611" w14:textId="77777777" w:rsidR="00312FC6" w:rsidRPr="004C4F6D" w:rsidRDefault="00312FC6" w:rsidP="004C4F6D">
      <w:pPr>
        <w:pStyle w:val="ListParagraph"/>
        <w:spacing w:after="0" w:line="240" w:lineRule="auto"/>
        <w:ind w:left="0" w:right="275"/>
        <w:jc w:val="both"/>
        <w:rPr>
          <w:rFonts w:ascii="Arial" w:eastAsia="Arial Narrow" w:hAnsi="Arial" w:cs="Arial"/>
        </w:rPr>
      </w:pPr>
    </w:p>
    <w:p w14:paraId="6A107C54" w14:textId="302347E1" w:rsidR="00312FC6" w:rsidRPr="004C4F6D" w:rsidRDefault="003919DE" w:rsidP="004C4F6D">
      <w:pPr>
        <w:spacing w:after="0" w:line="240" w:lineRule="auto"/>
        <w:ind w:left="720"/>
        <w:jc w:val="both"/>
        <w:rPr>
          <w:rFonts w:ascii="Arial" w:eastAsia="Arial Narrow" w:hAnsi="Arial" w:cs="Arial"/>
          <w:i/>
        </w:rPr>
      </w:pPr>
      <w:r w:rsidRPr="004C4F6D">
        <w:rPr>
          <w:rFonts w:ascii="Arial" w:eastAsia="Arial Narrow" w:hAnsi="Arial" w:cs="Arial"/>
          <w:i/>
          <w:color w:val="000000"/>
        </w:rPr>
        <w:t xml:space="preserve">The margin deposits are being invested by the Bank through the Treasury and Investment Banking Sector (TIBS), pursuant to paragraph F.7 of the MOA </w:t>
      </w:r>
      <w:r w:rsidR="001C0DF0" w:rsidRPr="004C4F6D">
        <w:rPr>
          <w:rFonts w:ascii="Arial" w:eastAsia="Arial Narrow" w:hAnsi="Arial" w:cs="Arial"/>
          <w:i/>
          <w:color w:val="000000"/>
        </w:rPr>
        <w:t>which</w:t>
      </w:r>
      <w:r w:rsidRPr="004C4F6D">
        <w:rPr>
          <w:rFonts w:ascii="Arial" w:eastAsia="Arial Narrow" w:hAnsi="Arial" w:cs="Arial"/>
          <w:i/>
          <w:color w:val="000000"/>
        </w:rPr>
        <w:t xml:space="preserve"> states:</w:t>
      </w:r>
    </w:p>
    <w:p w14:paraId="157EA0C6" w14:textId="77777777" w:rsidR="00312FC6" w:rsidRPr="004C4F6D" w:rsidRDefault="00312FC6" w:rsidP="004C4F6D">
      <w:pPr>
        <w:spacing w:after="0" w:line="240" w:lineRule="auto"/>
        <w:ind w:left="720" w:right="275"/>
        <w:jc w:val="both"/>
        <w:rPr>
          <w:rFonts w:ascii="Arial" w:eastAsia="Arial Narrow" w:hAnsi="Arial" w:cs="Arial"/>
          <w:i/>
        </w:rPr>
      </w:pPr>
    </w:p>
    <w:p w14:paraId="35EA81E1" w14:textId="77777777" w:rsidR="00312FC6" w:rsidRPr="004C4F6D" w:rsidRDefault="003919DE" w:rsidP="004C4F6D">
      <w:pPr>
        <w:spacing w:after="0" w:line="240" w:lineRule="auto"/>
        <w:ind w:left="1440" w:right="805"/>
        <w:jc w:val="both"/>
        <w:rPr>
          <w:rFonts w:ascii="Arial" w:eastAsia="Arial Narrow" w:hAnsi="Arial" w:cs="Arial"/>
          <w:i/>
          <w:color w:val="000000"/>
        </w:rPr>
      </w:pPr>
      <w:r w:rsidRPr="004C4F6D">
        <w:rPr>
          <w:rFonts w:ascii="Arial" w:eastAsia="Arial Narrow" w:hAnsi="Arial" w:cs="Arial"/>
          <w:i/>
          <w:color w:val="000000"/>
        </w:rPr>
        <w:t>Pending negotiation of the LC, LBP may invest the LC amount through its TIBS in such low-risk funds as may be determined by TIBS, and any income net of taxes shall be shared between DND-AFP (60%) and LBP (40%). DND-AFP’s share shall be credited to the DND-AFP account.</w:t>
      </w:r>
    </w:p>
    <w:p w14:paraId="7B8E4CC6" w14:textId="6E83DA76" w:rsidR="00F031BD" w:rsidRDefault="00F031BD" w:rsidP="004C4F6D">
      <w:pPr>
        <w:spacing w:after="0" w:line="240" w:lineRule="auto"/>
        <w:ind w:left="1701" w:right="805"/>
        <w:jc w:val="both"/>
        <w:rPr>
          <w:rFonts w:ascii="Arial" w:eastAsia="Arial Narrow" w:hAnsi="Arial" w:cs="Arial"/>
          <w:color w:val="000000"/>
        </w:rPr>
      </w:pPr>
    </w:p>
    <w:p w14:paraId="5360DA53" w14:textId="523EDC75" w:rsidR="00671F2D" w:rsidRDefault="00671F2D" w:rsidP="004C4F6D">
      <w:pPr>
        <w:spacing w:after="0" w:line="240" w:lineRule="auto"/>
        <w:ind w:left="1701" w:right="805"/>
        <w:jc w:val="both"/>
        <w:rPr>
          <w:rFonts w:ascii="Arial" w:eastAsia="Arial Narrow" w:hAnsi="Arial" w:cs="Arial"/>
          <w:color w:val="000000"/>
        </w:rPr>
      </w:pPr>
    </w:p>
    <w:p w14:paraId="509C5802" w14:textId="227EDEFA" w:rsidR="00671F2D" w:rsidRDefault="00671F2D" w:rsidP="004C4F6D">
      <w:pPr>
        <w:spacing w:after="0" w:line="240" w:lineRule="auto"/>
        <w:ind w:left="1701" w:right="805"/>
        <w:jc w:val="both"/>
        <w:rPr>
          <w:rFonts w:ascii="Arial" w:eastAsia="Arial Narrow" w:hAnsi="Arial" w:cs="Arial"/>
          <w:color w:val="000000"/>
        </w:rPr>
      </w:pPr>
    </w:p>
    <w:p w14:paraId="783CCEB8" w14:textId="77777777" w:rsidR="00671F2D" w:rsidRPr="004C4F6D" w:rsidRDefault="00671F2D" w:rsidP="004C4F6D">
      <w:pPr>
        <w:spacing w:after="0" w:line="240" w:lineRule="auto"/>
        <w:ind w:left="1701" w:right="805"/>
        <w:jc w:val="both"/>
        <w:rPr>
          <w:rFonts w:ascii="Arial" w:eastAsia="Arial Narrow" w:hAnsi="Arial" w:cs="Arial"/>
          <w:color w:val="000000"/>
        </w:rPr>
      </w:pPr>
    </w:p>
    <w:p w14:paraId="18AE03ED" w14:textId="5489530F" w:rsidR="00312FC6" w:rsidRPr="004C4F6D" w:rsidRDefault="003919DE" w:rsidP="004C4F6D">
      <w:pPr>
        <w:spacing w:after="0" w:line="240" w:lineRule="auto"/>
        <w:ind w:firstLine="720"/>
        <w:jc w:val="both"/>
        <w:rPr>
          <w:rFonts w:ascii="Arial" w:eastAsia="Arial Narrow" w:hAnsi="Arial" w:cs="Arial"/>
          <w:color w:val="000000"/>
        </w:rPr>
      </w:pPr>
      <w:r w:rsidRPr="004C4F6D">
        <w:rPr>
          <w:rFonts w:ascii="Arial" w:eastAsia="Arial Narrow" w:hAnsi="Arial" w:cs="Arial"/>
          <w:color w:val="000000"/>
        </w:rPr>
        <w:lastRenderedPageBreak/>
        <w:t>That provision of the MOA is not aligned with item 4.5 of the TC, which states:</w:t>
      </w:r>
    </w:p>
    <w:p w14:paraId="66D94F52" w14:textId="77777777" w:rsidR="00312FC6" w:rsidRPr="004C4F6D" w:rsidRDefault="00312FC6" w:rsidP="004C4F6D">
      <w:pPr>
        <w:spacing w:after="0" w:line="240" w:lineRule="auto"/>
        <w:ind w:firstLine="720"/>
        <w:jc w:val="both"/>
        <w:rPr>
          <w:rFonts w:ascii="Arial" w:eastAsia="Arial Narrow" w:hAnsi="Arial" w:cs="Arial"/>
          <w:color w:val="000000"/>
        </w:rPr>
      </w:pPr>
    </w:p>
    <w:p w14:paraId="08499AD4" w14:textId="45AA88D3" w:rsidR="00FB148C" w:rsidRPr="004C4F6D" w:rsidRDefault="003919DE" w:rsidP="004C4F6D">
      <w:pPr>
        <w:spacing w:after="0" w:line="240" w:lineRule="auto"/>
        <w:ind w:left="1440" w:right="805"/>
        <w:jc w:val="both"/>
        <w:rPr>
          <w:i/>
          <w:lang w:eastAsia="en-PH"/>
        </w:rPr>
      </w:pPr>
      <w:r w:rsidRPr="004C4F6D">
        <w:rPr>
          <w:rFonts w:ascii="Arial" w:eastAsia="Arial Narrow" w:hAnsi="Arial" w:cs="Arial"/>
          <w:i/>
          <w:color w:val="000000"/>
        </w:rPr>
        <w:t>The BTr shall negotiate the interest on the fund while waiting</w:t>
      </w:r>
      <w:r w:rsidRPr="004C4F6D">
        <w:rPr>
          <w:rFonts w:ascii="Arial" w:eastAsia="Arial Narrow" w:hAnsi="Arial" w:cs="Arial"/>
          <w:color w:val="000000"/>
        </w:rPr>
        <w:t xml:space="preserve"> </w:t>
      </w:r>
      <w:r w:rsidRPr="004C4F6D">
        <w:rPr>
          <w:rFonts w:ascii="Arial" w:eastAsia="Arial Narrow" w:hAnsi="Arial" w:cs="Arial"/>
          <w:i/>
          <w:color w:val="000000"/>
        </w:rPr>
        <w:t>negotiation of the outstanding LC. GSBs shall remit monthly interest earnings to the account that will be designated by BTr. Said interest income unless expressly provided by law shall be remitted to the General Fund.</w:t>
      </w:r>
    </w:p>
    <w:p w14:paraId="0BC7DAEF" w14:textId="77777777" w:rsidR="00312FC6" w:rsidRPr="004C4F6D" w:rsidRDefault="00312FC6" w:rsidP="004C4F6D">
      <w:pPr>
        <w:pStyle w:val="ListParagraph"/>
        <w:autoSpaceDE w:val="0"/>
        <w:autoSpaceDN w:val="0"/>
        <w:adjustRightInd w:val="0"/>
        <w:spacing w:after="0" w:line="240" w:lineRule="auto"/>
        <w:ind w:left="0"/>
        <w:jc w:val="both"/>
        <w:rPr>
          <w:rFonts w:ascii="Arial" w:eastAsia="Arial Narrow" w:hAnsi="Arial" w:cs="Arial"/>
          <w:color w:val="000000"/>
        </w:rPr>
      </w:pPr>
    </w:p>
    <w:p w14:paraId="0D26CAFC" w14:textId="5FECD766" w:rsidR="00312FC6" w:rsidRPr="004C4F6D" w:rsidRDefault="001C0DF0"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rPr>
        <w:t>The n</w:t>
      </w:r>
      <w:r w:rsidR="003919DE" w:rsidRPr="004C4F6D">
        <w:rPr>
          <w:rFonts w:ascii="Arial" w:eastAsia="Arial Narrow" w:hAnsi="Arial" w:cs="Arial"/>
        </w:rPr>
        <w:t>on</w:t>
      </w:r>
      <w:r w:rsidR="00A955B0">
        <w:rPr>
          <w:rFonts w:ascii="Arial" w:eastAsia="Arial Narrow" w:hAnsi="Arial" w:cs="Arial"/>
        </w:rPr>
        <w:t>-</w:t>
      </w:r>
      <w:r w:rsidR="003919DE" w:rsidRPr="004C4F6D">
        <w:rPr>
          <w:rFonts w:ascii="Arial" w:eastAsia="Arial Narrow" w:hAnsi="Arial" w:cs="Arial"/>
        </w:rPr>
        <w:t>compliance</w:t>
      </w:r>
      <w:r w:rsidR="003919DE" w:rsidRPr="004C4F6D">
        <w:rPr>
          <w:rFonts w:ascii="Arial" w:eastAsia="Arial Narrow" w:hAnsi="Arial" w:cs="Arial"/>
          <w:color w:val="000000"/>
        </w:rPr>
        <w:t xml:space="preserve"> with the provisions of TC No. 3-2019 defeats the objectives of BTr in establishing banking arrangements with Government Servicing Banks, such as the L</w:t>
      </w:r>
      <w:r w:rsidRPr="004C4F6D">
        <w:rPr>
          <w:rFonts w:ascii="Arial" w:eastAsia="Arial Narrow" w:hAnsi="Arial" w:cs="Arial"/>
          <w:color w:val="000000"/>
        </w:rPr>
        <w:t>BP</w:t>
      </w:r>
      <w:r w:rsidR="003919DE" w:rsidRPr="004C4F6D">
        <w:rPr>
          <w:rFonts w:ascii="Arial" w:eastAsia="Arial Narrow" w:hAnsi="Arial" w:cs="Arial"/>
          <w:color w:val="000000"/>
        </w:rPr>
        <w:t>, to clarify the use of LCs, provide assistance to NGAs in opening of LCs and to efficiently manage t</w:t>
      </w:r>
      <w:r w:rsidR="007C303C">
        <w:rPr>
          <w:rFonts w:ascii="Arial" w:eastAsia="Arial Narrow" w:hAnsi="Arial" w:cs="Arial"/>
          <w:color w:val="000000"/>
        </w:rPr>
        <w:t>he government’s cash resources.</w:t>
      </w:r>
    </w:p>
    <w:p w14:paraId="2445D5F4" w14:textId="77777777" w:rsidR="00312FC6" w:rsidRPr="004C4F6D" w:rsidRDefault="00312FC6" w:rsidP="004C4F6D">
      <w:pPr>
        <w:pStyle w:val="ListParagraph"/>
        <w:spacing w:after="0" w:line="240" w:lineRule="auto"/>
        <w:ind w:left="0"/>
        <w:jc w:val="both"/>
        <w:rPr>
          <w:rFonts w:ascii="Arial" w:eastAsia="Arial Narrow" w:hAnsi="Arial" w:cs="Arial"/>
          <w:color w:val="000000"/>
        </w:rPr>
      </w:pPr>
    </w:p>
    <w:p w14:paraId="262DB228" w14:textId="684FE0BD" w:rsidR="00312FC6" w:rsidRPr="004C4F6D" w:rsidRDefault="00226C18"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b/>
          <w:color w:val="000000"/>
        </w:rPr>
      </w:pPr>
      <w:r w:rsidRPr="004C4F6D">
        <w:rPr>
          <w:rFonts w:ascii="Arial" w:eastAsia="Arial Narrow" w:hAnsi="Arial" w:cs="Arial"/>
          <w:b/>
          <w:color w:val="000000"/>
        </w:rPr>
        <w:t>W</w:t>
      </w:r>
      <w:r w:rsidR="003919DE" w:rsidRPr="004C4F6D">
        <w:rPr>
          <w:rFonts w:ascii="Arial" w:eastAsia="Arial Narrow" w:hAnsi="Arial" w:cs="Arial"/>
          <w:b/>
          <w:color w:val="000000"/>
        </w:rPr>
        <w:t>e recommended</w:t>
      </w:r>
      <w:r w:rsidR="00FF47DB" w:rsidRPr="004C4F6D">
        <w:rPr>
          <w:rFonts w:ascii="Arial" w:eastAsia="Arial Narrow" w:hAnsi="Arial" w:cs="Arial"/>
          <w:b/>
          <w:color w:val="000000"/>
        </w:rPr>
        <w:t xml:space="preserve"> and </w:t>
      </w:r>
      <w:r w:rsidR="003919DE" w:rsidRPr="004C4F6D">
        <w:rPr>
          <w:rFonts w:ascii="Arial" w:eastAsia="Arial Narrow" w:hAnsi="Arial" w:cs="Arial"/>
          <w:b/>
          <w:color w:val="000000"/>
        </w:rPr>
        <w:t>Management</w:t>
      </w:r>
      <w:r w:rsidR="00FF47DB" w:rsidRPr="004C4F6D">
        <w:rPr>
          <w:rFonts w:ascii="Arial" w:eastAsia="Arial Narrow" w:hAnsi="Arial" w:cs="Arial"/>
          <w:b/>
          <w:color w:val="000000"/>
        </w:rPr>
        <w:t xml:space="preserve"> agreed to</w:t>
      </w:r>
      <w:r w:rsidR="003919DE" w:rsidRPr="004C4F6D">
        <w:rPr>
          <w:rFonts w:ascii="Arial" w:eastAsia="Arial Narrow" w:hAnsi="Arial" w:cs="Arial"/>
          <w:b/>
          <w:color w:val="000000"/>
        </w:rPr>
        <w:t>:</w:t>
      </w:r>
    </w:p>
    <w:p w14:paraId="42186B11" w14:textId="77777777" w:rsidR="00312FC6" w:rsidRPr="004C4F6D" w:rsidRDefault="00312FC6" w:rsidP="004C4F6D">
      <w:pPr>
        <w:pStyle w:val="ListParagraph"/>
        <w:spacing w:after="0" w:line="240" w:lineRule="auto"/>
        <w:ind w:left="0"/>
        <w:jc w:val="both"/>
        <w:rPr>
          <w:rFonts w:ascii="Arial" w:eastAsia="Arial Narrow" w:hAnsi="Arial" w:cs="Arial"/>
          <w:b/>
          <w:color w:val="000000"/>
        </w:rPr>
      </w:pPr>
    </w:p>
    <w:p w14:paraId="3DD05068" w14:textId="77777777" w:rsidR="00312FC6" w:rsidRPr="004C4F6D" w:rsidRDefault="003919DE" w:rsidP="004C4F6D">
      <w:pPr>
        <w:numPr>
          <w:ilvl w:val="1"/>
          <w:numId w:val="26"/>
        </w:numPr>
        <w:spacing w:after="0" w:line="240" w:lineRule="auto"/>
        <w:ind w:left="720" w:firstLine="0"/>
        <w:jc w:val="both"/>
        <w:rPr>
          <w:rFonts w:ascii="Arial" w:eastAsia="Arial Narrow" w:hAnsi="Arial" w:cs="Arial"/>
          <w:color w:val="000000"/>
          <w:lang w:eastAsia="en-PH"/>
        </w:rPr>
      </w:pPr>
      <w:r w:rsidRPr="004C4F6D">
        <w:rPr>
          <w:rFonts w:ascii="Arial" w:eastAsia="Arial Narrow" w:hAnsi="Arial" w:cs="Arial"/>
          <w:b/>
          <w:lang w:eastAsia="en-PH"/>
        </w:rPr>
        <w:t>Coordinate with NGA and r</w:t>
      </w:r>
      <w:r w:rsidRPr="004C4F6D">
        <w:rPr>
          <w:rFonts w:ascii="Arial" w:eastAsia="Arial Narrow" w:hAnsi="Arial" w:cs="Arial"/>
          <w:b/>
          <w:color w:val="000000"/>
          <w:lang w:eastAsia="en-PH"/>
        </w:rPr>
        <w:t xml:space="preserve">emit to the BTr the funds pertaining to LCs that are </w:t>
      </w:r>
      <w:r w:rsidRPr="004C4F6D">
        <w:rPr>
          <w:rFonts w:ascii="Arial" w:eastAsia="Arial Narrow" w:hAnsi="Arial" w:cs="Arial"/>
          <w:b/>
          <w:lang w:eastAsia="en-PH"/>
        </w:rPr>
        <w:t xml:space="preserve">without </w:t>
      </w:r>
      <w:r w:rsidRPr="004C4F6D">
        <w:rPr>
          <w:rFonts w:ascii="Arial" w:eastAsia="Arial Narrow" w:hAnsi="Arial" w:cs="Arial"/>
          <w:b/>
          <w:color w:val="0E101A"/>
          <w:lang w:eastAsia="en-PH"/>
        </w:rPr>
        <w:t>amendments or extensions, and</w:t>
      </w:r>
      <w:r w:rsidRPr="004C4F6D">
        <w:rPr>
          <w:rFonts w:ascii="Arial" w:eastAsia="Arial Narrow" w:hAnsi="Arial" w:cs="Arial"/>
          <w:i/>
          <w:color w:val="0E101A"/>
          <w:lang w:eastAsia="en-PH"/>
        </w:rPr>
        <w:t xml:space="preserve"> </w:t>
      </w:r>
      <w:r w:rsidRPr="004C4F6D">
        <w:rPr>
          <w:rFonts w:ascii="Arial" w:eastAsia="Arial Narrow" w:hAnsi="Arial" w:cs="Arial"/>
          <w:b/>
          <w:color w:val="000000"/>
          <w:lang w:eastAsia="en-PH"/>
        </w:rPr>
        <w:t>expired/unutilized for more than six (6) months, pursuant to Item 4.8 of the TC No.3- 2019;</w:t>
      </w:r>
    </w:p>
    <w:p w14:paraId="7BA96877" w14:textId="77777777" w:rsidR="00312FC6" w:rsidRPr="004C4F6D" w:rsidRDefault="00312FC6" w:rsidP="004C4F6D">
      <w:pPr>
        <w:spacing w:after="0" w:line="240" w:lineRule="auto"/>
        <w:ind w:left="720" w:right="197"/>
        <w:jc w:val="both"/>
        <w:rPr>
          <w:rFonts w:ascii="Arial" w:eastAsia="Arial Narrow" w:hAnsi="Arial" w:cs="Arial"/>
          <w:color w:val="000000"/>
          <w:lang w:eastAsia="en-PH"/>
        </w:rPr>
      </w:pPr>
    </w:p>
    <w:p w14:paraId="2D199066" w14:textId="77777777" w:rsidR="00312FC6" w:rsidRPr="004C4F6D" w:rsidRDefault="003919DE" w:rsidP="004C4F6D">
      <w:pPr>
        <w:numPr>
          <w:ilvl w:val="1"/>
          <w:numId w:val="26"/>
        </w:numPr>
        <w:spacing w:after="0" w:line="240" w:lineRule="auto"/>
        <w:ind w:left="720" w:firstLine="0"/>
        <w:jc w:val="both"/>
        <w:rPr>
          <w:rFonts w:ascii="Arial" w:eastAsia="Arial Narrow" w:hAnsi="Arial" w:cs="Arial"/>
          <w:color w:val="000000"/>
          <w:lang w:eastAsia="en-PH"/>
        </w:rPr>
      </w:pPr>
      <w:r w:rsidRPr="004C4F6D">
        <w:rPr>
          <w:rFonts w:ascii="Arial" w:eastAsia="Arial Narrow" w:hAnsi="Arial" w:cs="Arial"/>
          <w:b/>
          <w:color w:val="000000"/>
          <w:lang w:eastAsia="en-PH"/>
        </w:rPr>
        <w:t xml:space="preserve">Make representations with the BTr on entering into a new MOA with BTr to establish, standardize, and negotiate terms and conditions for all outstanding and new LCs of NGAs, pursuant to 4.2 and 5.3 of TC No. 3-2019; </w:t>
      </w:r>
    </w:p>
    <w:p w14:paraId="48C55393" w14:textId="77777777" w:rsidR="00312FC6" w:rsidRPr="004C4F6D" w:rsidRDefault="00312FC6" w:rsidP="004C4F6D">
      <w:pPr>
        <w:spacing w:after="0" w:line="240" w:lineRule="auto"/>
        <w:ind w:right="197"/>
        <w:jc w:val="both"/>
        <w:rPr>
          <w:rFonts w:ascii="Arial" w:eastAsia="Arial Narrow" w:hAnsi="Arial" w:cs="Arial"/>
          <w:color w:val="000000"/>
          <w:lang w:eastAsia="en-PH"/>
        </w:rPr>
      </w:pPr>
    </w:p>
    <w:p w14:paraId="552402EC" w14:textId="77777777" w:rsidR="00312FC6" w:rsidRPr="004C4F6D" w:rsidRDefault="003919DE" w:rsidP="004C4F6D">
      <w:pPr>
        <w:numPr>
          <w:ilvl w:val="1"/>
          <w:numId w:val="26"/>
        </w:numPr>
        <w:spacing w:after="0" w:line="240" w:lineRule="auto"/>
        <w:ind w:left="720" w:firstLine="0"/>
        <w:jc w:val="both"/>
        <w:rPr>
          <w:rFonts w:ascii="Arial" w:eastAsia="Arial Narrow" w:hAnsi="Arial" w:cs="Arial"/>
          <w:color w:val="000000"/>
          <w:lang w:eastAsia="en-PH"/>
        </w:rPr>
      </w:pPr>
      <w:r w:rsidRPr="004C4F6D">
        <w:rPr>
          <w:rFonts w:ascii="Arial" w:eastAsia="Arial Narrow" w:hAnsi="Arial" w:cs="Arial"/>
          <w:b/>
          <w:color w:val="000000"/>
          <w:lang w:eastAsia="en-PH"/>
        </w:rPr>
        <w:t xml:space="preserve">Submit monthly Status of outstanding LCs to the BTr and DBM pursuant to 4.6 of the TC No. 3-2019; and  </w:t>
      </w:r>
    </w:p>
    <w:p w14:paraId="6190ED60" w14:textId="77777777" w:rsidR="00312FC6" w:rsidRPr="004C4F6D" w:rsidRDefault="00312FC6" w:rsidP="004C4F6D">
      <w:pPr>
        <w:spacing w:after="0" w:line="240" w:lineRule="auto"/>
        <w:ind w:right="197"/>
        <w:jc w:val="both"/>
        <w:rPr>
          <w:rFonts w:ascii="Arial" w:eastAsia="Arial Narrow" w:hAnsi="Arial" w:cs="Arial"/>
          <w:color w:val="000000"/>
          <w:lang w:eastAsia="en-PH"/>
        </w:rPr>
      </w:pPr>
    </w:p>
    <w:p w14:paraId="0FEF6D52" w14:textId="77777777" w:rsidR="00312FC6" w:rsidRPr="004C4F6D" w:rsidRDefault="003919DE" w:rsidP="004C4F6D">
      <w:pPr>
        <w:numPr>
          <w:ilvl w:val="1"/>
          <w:numId w:val="26"/>
        </w:numPr>
        <w:spacing w:after="0" w:line="240" w:lineRule="auto"/>
        <w:ind w:left="720" w:firstLine="0"/>
        <w:jc w:val="both"/>
        <w:rPr>
          <w:rFonts w:ascii="Arial" w:eastAsia="Arial Narrow" w:hAnsi="Arial" w:cs="Arial"/>
          <w:color w:val="000000"/>
          <w:lang w:eastAsia="en-PH"/>
        </w:rPr>
      </w:pPr>
      <w:r w:rsidRPr="004C4F6D">
        <w:rPr>
          <w:rFonts w:ascii="Arial" w:eastAsia="Arial Narrow" w:hAnsi="Arial" w:cs="Arial"/>
          <w:b/>
          <w:color w:val="000000"/>
          <w:lang w:eastAsia="en-PH"/>
        </w:rPr>
        <w:t>Revisit and align existing provision in MOA by LBP with NGAs with Item 4.5 of TC No. 3-2019 on negotiation by BTr and remittance of interest to an account designated by the pending negotiation of LC.</w:t>
      </w:r>
    </w:p>
    <w:p w14:paraId="698C900B" w14:textId="77777777" w:rsidR="00312FC6" w:rsidRPr="004C4F6D" w:rsidRDefault="00312FC6" w:rsidP="004C4F6D">
      <w:pPr>
        <w:pStyle w:val="ListParagraph"/>
        <w:spacing w:after="0" w:line="240" w:lineRule="auto"/>
        <w:ind w:left="0" w:right="174"/>
        <w:jc w:val="both"/>
        <w:rPr>
          <w:rFonts w:ascii="Arial" w:eastAsia="Arial Narrow" w:hAnsi="Arial" w:cs="Arial"/>
          <w:color w:val="000000"/>
        </w:rPr>
      </w:pPr>
    </w:p>
    <w:p w14:paraId="53CFD6E7" w14:textId="78D1409A" w:rsidR="00312FC6" w:rsidRPr="004C4F6D" w:rsidRDefault="00FB148C" w:rsidP="004C4F6D">
      <w:pPr>
        <w:pStyle w:val="ListParagraph"/>
        <w:numPr>
          <w:ilvl w:val="1"/>
          <w:numId w:val="35"/>
        </w:numPr>
        <w:autoSpaceDE w:val="0"/>
        <w:autoSpaceDN w:val="0"/>
        <w:adjustRightInd w:val="0"/>
        <w:spacing w:after="0" w:line="240" w:lineRule="auto"/>
        <w:ind w:left="0" w:firstLine="0"/>
        <w:jc w:val="both"/>
        <w:rPr>
          <w:rFonts w:ascii="Arial" w:eastAsia="Arial Narrow" w:hAnsi="Arial" w:cs="Arial"/>
          <w:color w:val="000000"/>
        </w:rPr>
      </w:pPr>
      <w:r w:rsidRPr="004C4F6D">
        <w:rPr>
          <w:rFonts w:ascii="Arial" w:eastAsia="Arial Narrow" w:hAnsi="Arial" w:cs="Arial"/>
        </w:rPr>
        <w:t>Management informed that</w:t>
      </w:r>
      <w:r w:rsidR="002805D4" w:rsidRPr="004C4F6D">
        <w:rPr>
          <w:rFonts w:ascii="Arial" w:eastAsia="Arial Narrow" w:hAnsi="Arial" w:cs="Arial"/>
        </w:rPr>
        <w:t xml:space="preserve"> preliminary actions are already being undertaken towards </w:t>
      </w:r>
      <w:r w:rsidR="001772EF" w:rsidRPr="004C4F6D">
        <w:rPr>
          <w:rFonts w:ascii="Arial" w:eastAsia="Arial Narrow" w:hAnsi="Arial" w:cs="Arial"/>
        </w:rPr>
        <w:t>the implementation</w:t>
      </w:r>
      <w:r w:rsidR="002805D4" w:rsidRPr="004C4F6D">
        <w:rPr>
          <w:rFonts w:ascii="Arial" w:eastAsia="Arial Narrow" w:hAnsi="Arial" w:cs="Arial"/>
        </w:rPr>
        <w:t xml:space="preserve"> of the recommendations.</w:t>
      </w:r>
      <w:r w:rsidRPr="004C4F6D">
        <w:rPr>
          <w:rFonts w:ascii="Arial" w:eastAsia="Arial Narrow" w:hAnsi="Arial" w:cs="Arial"/>
        </w:rPr>
        <w:t xml:space="preserve"> </w:t>
      </w:r>
    </w:p>
    <w:p w14:paraId="447FFDFB" w14:textId="77777777" w:rsidR="001772EF" w:rsidRPr="004C4F6D" w:rsidRDefault="001772EF" w:rsidP="004C4F6D">
      <w:pPr>
        <w:pStyle w:val="ListParagraph"/>
        <w:spacing w:after="0" w:line="240" w:lineRule="auto"/>
        <w:ind w:left="0"/>
        <w:jc w:val="both"/>
        <w:rPr>
          <w:rFonts w:ascii="Arial" w:eastAsia="Arial Narrow" w:hAnsi="Arial" w:cs="Arial"/>
          <w:bCs/>
        </w:rPr>
      </w:pPr>
    </w:p>
    <w:p w14:paraId="51BD5FB7" w14:textId="652E6B08" w:rsidR="00312FC6" w:rsidRPr="004C4F6D" w:rsidRDefault="00312FC6" w:rsidP="004C4F6D">
      <w:pPr>
        <w:pStyle w:val="ListParagraph"/>
        <w:spacing w:after="0" w:line="240" w:lineRule="auto"/>
        <w:ind w:left="0"/>
        <w:jc w:val="both"/>
        <w:rPr>
          <w:rFonts w:ascii="Arial" w:hAnsi="Arial" w:cs="Arial"/>
          <w:b/>
        </w:rPr>
      </w:pPr>
    </w:p>
    <w:p w14:paraId="7E4E9832" w14:textId="563B1F61" w:rsidR="00295611" w:rsidRPr="004C4F6D" w:rsidRDefault="00407C96" w:rsidP="004C4F6D">
      <w:pPr>
        <w:numPr>
          <w:ilvl w:val="0"/>
          <w:numId w:val="35"/>
        </w:numPr>
        <w:spacing w:after="0" w:line="240" w:lineRule="auto"/>
        <w:ind w:left="0" w:firstLine="0"/>
        <w:jc w:val="both"/>
        <w:rPr>
          <w:rFonts w:ascii="Arial" w:hAnsi="Arial" w:cs="Arial"/>
          <w:b/>
        </w:rPr>
      </w:pPr>
      <w:r w:rsidRPr="004C4F6D">
        <w:rPr>
          <w:rFonts w:ascii="Arial" w:eastAsia="Arial Narrow" w:hAnsi="Arial" w:cs="Arial"/>
          <w:b/>
          <w:color w:val="000000"/>
        </w:rPr>
        <w:t xml:space="preserve">Policy/guidelines of proper assigning of accountabilities and consistency of its implementation were not updated contrary to sound internal control, which resulted to errors in accounting for: a) settlements of LANDBANK Prepaid Card purchase transactions in USD; b) issuances and reporting of semi-expendable properties; and c) disposition of </w:t>
      </w:r>
      <w:r w:rsidRPr="004C4F6D">
        <w:rPr>
          <w:rFonts w:ascii="Arial" w:hAnsi="Arial" w:cs="Arial"/>
          <w:b/>
        </w:rPr>
        <w:t>proceeds and interests of clients’ investments through LBP.</w:t>
      </w:r>
    </w:p>
    <w:p w14:paraId="352FB6F0" w14:textId="77777777" w:rsidR="001772EF" w:rsidRPr="004C4F6D" w:rsidRDefault="001772EF" w:rsidP="004C4F6D">
      <w:pPr>
        <w:spacing w:after="0" w:line="240" w:lineRule="auto"/>
        <w:jc w:val="both"/>
        <w:rPr>
          <w:rFonts w:ascii="Arial" w:hAnsi="Arial" w:cs="Arial"/>
          <w:b/>
        </w:rPr>
      </w:pPr>
    </w:p>
    <w:p w14:paraId="5125D347" w14:textId="430911AD" w:rsidR="00312FC6" w:rsidRPr="004C4F6D" w:rsidRDefault="003919DE" w:rsidP="004C4F6D">
      <w:pPr>
        <w:pStyle w:val="ListParagraph"/>
        <w:numPr>
          <w:ilvl w:val="1"/>
          <w:numId w:val="41"/>
        </w:numPr>
        <w:autoSpaceDE w:val="0"/>
        <w:autoSpaceDN w:val="0"/>
        <w:adjustRightInd w:val="0"/>
        <w:spacing w:after="0" w:line="240" w:lineRule="auto"/>
        <w:ind w:left="0" w:firstLine="0"/>
        <w:jc w:val="both"/>
        <w:rPr>
          <w:rFonts w:ascii="Arial" w:eastAsia="Arial Narrow" w:hAnsi="Arial" w:cs="Arial"/>
        </w:rPr>
      </w:pPr>
      <w:r w:rsidRPr="004C4F6D">
        <w:rPr>
          <w:rFonts w:ascii="Arial" w:eastAsia="Times New Roman" w:hAnsi="Arial" w:cs="Arial"/>
          <w:lang w:eastAsia="en-PH"/>
        </w:rPr>
        <w:t xml:space="preserve">Section 123 of Presidential Decree No. 1445 defines internal control </w:t>
      </w:r>
      <w:r w:rsidRPr="004C4F6D">
        <w:rPr>
          <w:rFonts w:ascii="Arial" w:eastAsia="Calibri" w:hAnsi="Arial" w:cs="Arial"/>
          <w:lang w:eastAsia="en-PH"/>
        </w:rPr>
        <w:t>as</w:t>
      </w:r>
      <w:r w:rsidRPr="004C4F6D">
        <w:rPr>
          <w:rFonts w:ascii="Arial" w:eastAsia="Calibri" w:hAnsi="Arial" w:cs="Arial"/>
          <w:i/>
          <w:lang w:eastAsia="en-PH"/>
        </w:rPr>
        <w:t xml:space="preserve"> the plan of organization and all the coordinate methods and measures adopted within an organization or agency to safeguard its assets, check the accuracy and reliability of its accounting data, and encourage adherence to prescribed managerial policies.</w:t>
      </w:r>
    </w:p>
    <w:p w14:paraId="332725FB" w14:textId="77777777" w:rsidR="00312FC6" w:rsidRPr="004C4F6D" w:rsidRDefault="00312FC6" w:rsidP="004C4F6D">
      <w:pPr>
        <w:pStyle w:val="ListParagraph"/>
        <w:spacing w:after="0" w:line="240" w:lineRule="auto"/>
        <w:ind w:left="0"/>
        <w:jc w:val="both"/>
        <w:rPr>
          <w:rFonts w:ascii="Arial" w:eastAsia="Arial Narrow" w:hAnsi="Arial" w:cs="Arial"/>
        </w:rPr>
      </w:pPr>
    </w:p>
    <w:p w14:paraId="7FE8EA31" w14:textId="0FD42177" w:rsidR="00312FC6" w:rsidRPr="004C4F6D" w:rsidRDefault="00037E49" w:rsidP="004C4F6D">
      <w:pPr>
        <w:pStyle w:val="ListParagraph"/>
        <w:numPr>
          <w:ilvl w:val="1"/>
          <w:numId w:val="41"/>
        </w:numPr>
        <w:autoSpaceDE w:val="0"/>
        <w:autoSpaceDN w:val="0"/>
        <w:adjustRightInd w:val="0"/>
        <w:spacing w:after="0" w:line="240" w:lineRule="auto"/>
        <w:ind w:left="0" w:firstLine="0"/>
        <w:jc w:val="both"/>
        <w:rPr>
          <w:rFonts w:ascii="Arial" w:eastAsia="Arial Narrow" w:hAnsi="Arial" w:cs="Arial"/>
        </w:rPr>
      </w:pPr>
      <w:r w:rsidRPr="004C4F6D">
        <w:rPr>
          <w:rFonts w:ascii="Arial" w:eastAsia="Arial Narrow" w:hAnsi="Arial" w:cs="Arial"/>
        </w:rPr>
        <w:t>R</w:t>
      </w:r>
      <w:r w:rsidR="003919DE" w:rsidRPr="004C4F6D">
        <w:rPr>
          <w:rFonts w:ascii="Arial" w:eastAsia="Arial Narrow" w:hAnsi="Arial" w:cs="Arial"/>
        </w:rPr>
        <w:t>eview of the financial transactions of the Bank for CY 2022</w:t>
      </w:r>
      <w:r w:rsidRPr="004C4F6D">
        <w:rPr>
          <w:rFonts w:ascii="Arial" w:eastAsia="Arial Narrow" w:hAnsi="Arial" w:cs="Arial"/>
        </w:rPr>
        <w:t xml:space="preserve"> </w:t>
      </w:r>
      <w:r w:rsidR="00407C96" w:rsidRPr="004C4F6D">
        <w:rPr>
          <w:rFonts w:ascii="Arial" w:eastAsia="Arial Narrow" w:hAnsi="Arial" w:cs="Arial"/>
        </w:rPr>
        <w:t xml:space="preserve">showed that </w:t>
      </w:r>
      <w:r w:rsidR="00295611" w:rsidRPr="004C4F6D">
        <w:rPr>
          <w:rFonts w:ascii="Arial" w:eastAsia="Arial Narrow" w:hAnsi="Arial" w:cs="Arial"/>
        </w:rPr>
        <w:t>some</w:t>
      </w:r>
      <w:r w:rsidR="003919DE" w:rsidRPr="004C4F6D">
        <w:rPr>
          <w:rFonts w:ascii="Arial" w:eastAsia="Arial Narrow" w:hAnsi="Arial" w:cs="Arial"/>
        </w:rPr>
        <w:t xml:space="preserve"> policy/guidelines </w:t>
      </w:r>
      <w:r w:rsidR="00295611" w:rsidRPr="004C4F6D">
        <w:rPr>
          <w:rFonts w:ascii="Arial" w:eastAsia="Arial Narrow" w:hAnsi="Arial" w:cs="Arial"/>
        </w:rPr>
        <w:t xml:space="preserve">were not updated which resulted in errors in accounting for certain transactions, </w:t>
      </w:r>
      <w:r w:rsidR="008C7E81" w:rsidRPr="004C4F6D">
        <w:rPr>
          <w:rFonts w:ascii="Arial" w:eastAsia="Arial Narrow" w:hAnsi="Arial" w:cs="Arial"/>
        </w:rPr>
        <w:t>as</w:t>
      </w:r>
      <w:r w:rsidR="001772EF" w:rsidRPr="004C4F6D">
        <w:rPr>
          <w:rFonts w:ascii="Arial" w:eastAsia="Arial Narrow" w:hAnsi="Arial" w:cs="Arial"/>
        </w:rPr>
        <w:t xml:space="preserve"> </w:t>
      </w:r>
      <w:r w:rsidR="00407C96" w:rsidRPr="004C4F6D">
        <w:rPr>
          <w:rFonts w:ascii="Arial" w:eastAsia="Arial Narrow" w:hAnsi="Arial" w:cs="Arial"/>
        </w:rPr>
        <w:t>follows</w:t>
      </w:r>
      <w:r w:rsidR="003919DE" w:rsidRPr="004C4F6D">
        <w:rPr>
          <w:rFonts w:ascii="Arial" w:eastAsia="Arial Narrow" w:hAnsi="Arial" w:cs="Arial"/>
        </w:rPr>
        <w:t>:</w:t>
      </w:r>
    </w:p>
    <w:p w14:paraId="256D5C1A" w14:textId="77777777" w:rsidR="00312FC6" w:rsidRPr="004C4F6D" w:rsidRDefault="00312FC6" w:rsidP="004C4F6D">
      <w:pPr>
        <w:pStyle w:val="ListParagraph"/>
        <w:spacing w:after="0" w:line="240" w:lineRule="auto"/>
        <w:ind w:left="0"/>
        <w:jc w:val="both"/>
        <w:rPr>
          <w:rFonts w:ascii="Arial" w:eastAsia="Arial Narrow" w:hAnsi="Arial" w:cs="Arial"/>
        </w:rPr>
      </w:pPr>
    </w:p>
    <w:p w14:paraId="6F73267D" w14:textId="5C2F88B1" w:rsidR="00312FC6" w:rsidRPr="004C4F6D" w:rsidRDefault="003919DE" w:rsidP="004C4F6D">
      <w:pPr>
        <w:pStyle w:val="ListParagraph"/>
        <w:numPr>
          <w:ilvl w:val="1"/>
          <w:numId w:val="43"/>
        </w:numPr>
        <w:autoSpaceDE w:val="0"/>
        <w:autoSpaceDN w:val="0"/>
        <w:adjustRightInd w:val="0"/>
        <w:spacing w:after="0" w:line="240" w:lineRule="auto"/>
        <w:ind w:left="709" w:firstLine="0"/>
        <w:jc w:val="both"/>
        <w:rPr>
          <w:rFonts w:ascii="Arial" w:eastAsia="Arial Narrow" w:hAnsi="Arial" w:cs="Arial"/>
          <w:bCs/>
          <w:iCs/>
        </w:rPr>
      </w:pPr>
      <w:r w:rsidRPr="004C4F6D">
        <w:rPr>
          <w:rFonts w:ascii="Arial" w:eastAsia="Arial Narrow" w:hAnsi="Arial" w:cs="Arial"/>
          <w:bCs/>
          <w:iCs/>
          <w:color w:val="000000"/>
        </w:rPr>
        <w:lastRenderedPageBreak/>
        <w:t>Settlements of LANDBANK Prepaid Card purchase transactions in USD, erroneously reco</w:t>
      </w:r>
      <w:r w:rsidRPr="004C4F6D">
        <w:rPr>
          <w:rFonts w:ascii="Arial" w:eastAsia="Arial Narrow" w:hAnsi="Arial" w:cs="Arial"/>
          <w:bCs/>
          <w:iCs/>
        </w:rPr>
        <w:t>gnized under</w:t>
      </w:r>
      <w:r w:rsidRPr="004C4F6D">
        <w:rPr>
          <w:rFonts w:ascii="Arial" w:eastAsia="Arial Narrow" w:hAnsi="Arial" w:cs="Arial"/>
          <w:bCs/>
          <w:iCs/>
          <w:color w:val="000000"/>
        </w:rPr>
        <w:t xml:space="preserve"> Miscellaneous Expenses (ME) instead of Accounts Payable-Resident E-money (AP) and Fees and Commissions expense account –P124.632 million total misstatements detected and adjusted</w:t>
      </w:r>
      <w:r w:rsidR="00C06B78">
        <w:rPr>
          <w:rFonts w:ascii="Arial" w:eastAsia="Arial Narrow" w:hAnsi="Arial" w:cs="Arial"/>
          <w:bCs/>
          <w:iCs/>
          <w:color w:val="000000"/>
        </w:rPr>
        <w:t>.</w:t>
      </w:r>
    </w:p>
    <w:p w14:paraId="2F986978" w14:textId="77777777" w:rsidR="00312FC6" w:rsidRPr="004C4F6D" w:rsidRDefault="00312FC6" w:rsidP="004C4F6D">
      <w:pPr>
        <w:pStyle w:val="ListParagraph"/>
        <w:spacing w:after="0" w:line="240" w:lineRule="auto"/>
        <w:ind w:left="1080"/>
        <w:jc w:val="both"/>
        <w:rPr>
          <w:rFonts w:ascii="Arial" w:eastAsia="Arial Narrow" w:hAnsi="Arial" w:cs="Arial"/>
        </w:rPr>
      </w:pPr>
    </w:p>
    <w:p w14:paraId="0512F557" w14:textId="7E5AD28C" w:rsidR="00312FC6"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eastAsia="Arial Narrow" w:hAnsi="Arial" w:cs="Arial"/>
        </w:rPr>
      </w:pPr>
      <w:r w:rsidRPr="004C4F6D">
        <w:rPr>
          <w:rFonts w:ascii="Arial" w:eastAsia="Arial Narrow" w:hAnsi="Arial" w:cs="Arial"/>
          <w:color w:val="000000"/>
        </w:rPr>
        <w:t>The LANDBANK Prepaid Card (LPC) is a reloadable transactional card that functions like a debit card and is convenient</w:t>
      </w:r>
      <w:r w:rsidRPr="004C4F6D">
        <w:rPr>
          <w:rFonts w:ascii="Arial" w:eastAsia="Arial Narrow" w:hAnsi="Arial" w:cs="Arial"/>
          <w:color w:val="000000"/>
          <w:sz w:val="24"/>
        </w:rPr>
        <w:t xml:space="preserve"> </w:t>
      </w:r>
      <w:r w:rsidRPr="004C4F6D">
        <w:rPr>
          <w:rFonts w:ascii="Arial" w:eastAsia="Arial Narrow" w:hAnsi="Arial" w:cs="Arial"/>
          <w:color w:val="000000"/>
        </w:rPr>
        <w:t>to use as payment for purchases worldwide where Mastercard is accepted. Funds can also be loaded/withdrawn over-the-counter (OTC) in any LANDBANK Branches and Agent Banking Partners and can also be accessed through the LANDBANK Mobile Banking Application.</w:t>
      </w:r>
    </w:p>
    <w:p w14:paraId="435ACECA" w14:textId="77777777" w:rsidR="00312FC6" w:rsidRPr="004C4F6D" w:rsidRDefault="00312FC6" w:rsidP="004C4F6D">
      <w:pPr>
        <w:pStyle w:val="ListParagraph"/>
        <w:spacing w:after="0" w:line="240" w:lineRule="auto"/>
        <w:ind w:left="0"/>
        <w:jc w:val="both"/>
        <w:rPr>
          <w:rFonts w:ascii="Arial" w:eastAsia="Arial Narrow" w:hAnsi="Arial" w:cs="Arial"/>
        </w:rPr>
      </w:pPr>
    </w:p>
    <w:p w14:paraId="0DBC0077" w14:textId="6C25F7BC" w:rsidR="00312FC6"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eastAsia="Arial Narrow" w:hAnsi="Arial" w:cs="Arial"/>
          <w:color w:val="000000" w:themeColor="text1"/>
        </w:rPr>
      </w:pPr>
      <w:r w:rsidRPr="004C4F6D">
        <w:rPr>
          <w:rFonts w:ascii="Arial" w:eastAsia="Arial Narrow" w:hAnsi="Arial" w:cs="Arial"/>
          <w:color w:val="000000"/>
        </w:rPr>
        <w:t>Records</w:t>
      </w:r>
      <w:r w:rsidRPr="004C4F6D">
        <w:rPr>
          <w:rFonts w:ascii="Arial" w:eastAsia="Arial Narrow" w:hAnsi="Arial" w:cs="Arial"/>
        </w:rPr>
        <w:t xml:space="preserve"> showed that the balance of M</w:t>
      </w:r>
      <w:r w:rsidR="00593008" w:rsidRPr="004C4F6D">
        <w:rPr>
          <w:rFonts w:ascii="Arial" w:eastAsia="Arial Narrow" w:hAnsi="Arial" w:cs="Arial"/>
        </w:rPr>
        <w:t>E</w:t>
      </w:r>
      <w:r w:rsidRPr="004C4F6D">
        <w:rPr>
          <w:rFonts w:ascii="Arial" w:eastAsia="Arial Narrow" w:hAnsi="Arial" w:cs="Arial"/>
        </w:rPr>
        <w:t xml:space="preserve"> account as of December 31, 2022 under FDRD books amounted to P154,450,944.32, </w:t>
      </w:r>
      <w:r w:rsidR="00E76943" w:rsidRPr="004C4F6D">
        <w:rPr>
          <w:rFonts w:ascii="Arial" w:eastAsia="Arial Narrow" w:hAnsi="Arial" w:cs="Arial"/>
        </w:rPr>
        <w:t xml:space="preserve">a </w:t>
      </w:r>
      <w:r w:rsidRPr="004C4F6D">
        <w:rPr>
          <w:rFonts w:ascii="Arial" w:eastAsia="Arial Narrow" w:hAnsi="Arial" w:cs="Arial"/>
        </w:rPr>
        <w:t>significant</w:t>
      </w:r>
      <w:r w:rsidR="00E76943" w:rsidRPr="004C4F6D">
        <w:rPr>
          <w:rFonts w:ascii="Arial" w:eastAsia="Arial Narrow" w:hAnsi="Arial" w:cs="Arial"/>
        </w:rPr>
        <w:t xml:space="preserve"> increase</w:t>
      </w:r>
      <w:r w:rsidR="00EE0706">
        <w:rPr>
          <w:rFonts w:ascii="Arial" w:eastAsia="Arial Narrow" w:hAnsi="Arial" w:cs="Arial"/>
        </w:rPr>
        <w:t xml:space="preserve"> by P105,224,427.61 or 214 per cent</w:t>
      </w:r>
      <w:r w:rsidRPr="004C4F6D">
        <w:rPr>
          <w:rFonts w:ascii="Arial" w:eastAsia="Arial Narrow" w:hAnsi="Arial" w:cs="Arial"/>
        </w:rPr>
        <w:t xml:space="preserve"> from the reported balance of P49,226,516.71 in CY 2021. Review of the account disclosed that </w:t>
      </w:r>
      <w:r w:rsidR="00593008" w:rsidRPr="004C4F6D">
        <w:rPr>
          <w:rFonts w:ascii="Arial" w:eastAsia="Arial Narrow" w:hAnsi="Arial" w:cs="Arial"/>
        </w:rPr>
        <w:t xml:space="preserve">LPC </w:t>
      </w:r>
      <w:r w:rsidRPr="004C4F6D">
        <w:rPr>
          <w:rFonts w:ascii="Arial" w:eastAsia="Arial Narrow" w:hAnsi="Arial" w:cs="Arial"/>
        </w:rPr>
        <w:t xml:space="preserve">transactions </w:t>
      </w:r>
      <w:r w:rsidR="00593008" w:rsidRPr="004C4F6D">
        <w:rPr>
          <w:rFonts w:ascii="Arial" w:eastAsia="Arial Narrow" w:hAnsi="Arial" w:cs="Arial"/>
        </w:rPr>
        <w:t>amounting to</w:t>
      </w:r>
      <w:r w:rsidRPr="004C4F6D">
        <w:rPr>
          <w:rFonts w:ascii="Arial" w:eastAsia="Arial Narrow" w:hAnsi="Arial" w:cs="Arial"/>
        </w:rPr>
        <w:t xml:space="preserve"> P124,632,323.21 or 81</w:t>
      </w:r>
      <w:r w:rsidR="00593008" w:rsidRPr="004C4F6D">
        <w:rPr>
          <w:rFonts w:ascii="Arial" w:eastAsia="Arial Narrow" w:hAnsi="Arial" w:cs="Arial"/>
        </w:rPr>
        <w:t xml:space="preserve"> per cent</w:t>
      </w:r>
      <w:r w:rsidRPr="004C4F6D">
        <w:rPr>
          <w:rFonts w:ascii="Arial" w:eastAsia="Arial Narrow" w:hAnsi="Arial" w:cs="Arial"/>
        </w:rPr>
        <w:t xml:space="preserve"> of the total </w:t>
      </w:r>
      <w:r w:rsidR="00593008" w:rsidRPr="004C4F6D">
        <w:rPr>
          <w:rFonts w:ascii="Arial" w:eastAsia="Arial Narrow" w:hAnsi="Arial" w:cs="Arial"/>
        </w:rPr>
        <w:t xml:space="preserve">ME account </w:t>
      </w:r>
      <w:r w:rsidRPr="004C4F6D">
        <w:rPr>
          <w:rFonts w:ascii="Arial" w:eastAsia="Arial Narrow" w:hAnsi="Arial" w:cs="Arial"/>
        </w:rPr>
        <w:t>balance for CY 2022, include</w:t>
      </w:r>
      <w:r w:rsidR="00593008" w:rsidRPr="004C4F6D">
        <w:rPr>
          <w:rFonts w:ascii="Arial" w:eastAsia="Arial Narrow" w:hAnsi="Arial" w:cs="Arial"/>
        </w:rPr>
        <w:t>d</w:t>
      </w:r>
      <w:r w:rsidRPr="004C4F6D">
        <w:rPr>
          <w:rFonts w:ascii="Arial" w:eastAsia="Arial Narrow" w:hAnsi="Arial" w:cs="Arial"/>
        </w:rPr>
        <w:t xml:space="preserve"> settlement of LPC purchase transactions in USD thru Bank of America, New York. </w:t>
      </w:r>
    </w:p>
    <w:p w14:paraId="006A89FC" w14:textId="77777777" w:rsidR="00312FC6" w:rsidRPr="004C4F6D" w:rsidRDefault="00312FC6" w:rsidP="004C4F6D">
      <w:pPr>
        <w:pStyle w:val="ListParagraph"/>
        <w:spacing w:after="0" w:line="240" w:lineRule="auto"/>
        <w:ind w:left="360" w:right="133"/>
        <w:jc w:val="both"/>
        <w:rPr>
          <w:rFonts w:ascii="Arial" w:eastAsia="Arial Narrow" w:hAnsi="Arial" w:cs="Arial"/>
          <w:color w:val="000000" w:themeColor="text1"/>
        </w:rPr>
      </w:pPr>
    </w:p>
    <w:p w14:paraId="123C373B" w14:textId="39F3D90A" w:rsidR="00312FC6" w:rsidRPr="004C4F6D" w:rsidRDefault="00593008" w:rsidP="004C4F6D">
      <w:pPr>
        <w:pStyle w:val="ListParagraph"/>
        <w:numPr>
          <w:ilvl w:val="2"/>
          <w:numId w:val="43"/>
        </w:numPr>
        <w:autoSpaceDE w:val="0"/>
        <w:autoSpaceDN w:val="0"/>
        <w:adjustRightInd w:val="0"/>
        <w:spacing w:after="0" w:line="240" w:lineRule="auto"/>
        <w:ind w:left="1800" w:hanging="360"/>
        <w:jc w:val="both"/>
        <w:rPr>
          <w:rFonts w:ascii="Arial" w:eastAsia="Arial Narrow" w:hAnsi="Arial" w:cs="Arial"/>
          <w:color w:val="000000" w:themeColor="text1"/>
        </w:rPr>
      </w:pPr>
      <w:r w:rsidRPr="004C4F6D">
        <w:rPr>
          <w:rFonts w:ascii="Arial" w:eastAsia="Arial Narrow" w:hAnsi="Arial" w:cs="Arial"/>
          <w:color w:val="000000"/>
        </w:rPr>
        <w:t xml:space="preserve">It was </w:t>
      </w:r>
      <w:r w:rsidR="003919DE" w:rsidRPr="004C4F6D">
        <w:rPr>
          <w:rFonts w:ascii="Arial" w:eastAsia="Arial Narrow" w:hAnsi="Arial" w:cs="Arial"/>
          <w:color w:val="000000" w:themeColor="text1"/>
        </w:rPr>
        <w:t>noted that the settlement of purchase transactions in and various LPC-related fees/charges in USD were both erroneously charged to M</w:t>
      </w:r>
      <w:r w:rsidRPr="004C4F6D">
        <w:rPr>
          <w:rFonts w:ascii="Arial" w:eastAsia="Arial Narrow" w:hAnsi="Arial" w:cs="Arial"/>
          <w:color w:val="000000" w:themeColor="text1"/>
        </w:rPr>
        <w:t>E</w:t>
      </w:r>
      <w:r w:rsidR="003919DE" w:rsidRPr="004C4F6D">
        <w:rPr>
          <w:rFonts w:ascii="Arial" w:eastAsia="Arial Narrow" w:hAnsi="Arial" w:cs="Arial"/>
          <w:color w:val="000000" w:themeColor="text1"/>
        </w:rPr>
        <w:t xml:space="preserve"> instead to Accounts Payable e-Money for the amount loaded in LPC and Fees and Commission Expense for the corresponding LPC-related fees/charge. This resulted </w:t>
      </w:r>
      <w:r w:rsidRPr="004C4F6D">
        <w:rPr>
          <w:rFonts w:ascii="Arial" w:eastAsia="Arial Narrow" w:hAnsi="Arial" w:cs="Arial"/>
        </w:rPr>
        <w:t>in the</w:t>
      </w:r>
      <w:r w:rsidR="003919DE" w:rsidRPr="004C4F6D">
        <w:rPr>
          <w:rFonts w:ascii="Arial" w:eastAsia="Arial Narrow" w:hAnsi="Arial" w:cs="Arial"/>
        </w:rPr>
        <w:t xml:space="preserve"> overstatement of M</w:t>
      </w:r>
      <w:r w:rsidRPr="004C4F6D">
        <w:rPr>
          <w:rFonts w:ascii="Arial" w:eastAsia="Arial Narrow" w:hAnsi="Arial" w:cs="Arial"/>
        </w:rPr>
        <w:t>E</w:t>
      </w:r>
      <w:r w:rsidR="003919DE" w:rsidRPr="004C4F6D">
        <w:rPr>
          <w:rFonts w:ascii="Arial" w:eastAsia="Arial Narrow" w:hAnsi="Arial" w:cs="Arial"/>
        </w:rPr>
        <w:t xml:space="preserve"> by P124,632,323.21 and Accounts Payable-Resident E-Money by an undetermined amount, and understatement of Fees and Commissions Expense also by an undetermined amount.</w:t>
      </w:r>
    </w:p>
    <w:p w14:paraId="2B1F8C22" w14:textId="77777777" w:rsidR="00312FC6" w:rsidRPr="004C4F6D" w:rsidRDefault="00312FC6" w:rsidP="004C4F6D">
      <w:pPr>
        <w:spacing w:after="0" w:line="240" w:lineRule="auto"/>
        <w:ind w:right="133"/>
        <w:jc w:val="both"/>
        <w:rPr>
          <w:rFonts w:ascii="Arial" w:eastAsia="Arial Narrow" w:hAnsi="Arial" w:cs="Arial"/>
          <w:color w:val="000000" w:themeColor="text1"/>
        </w:rPr>
      </w:pPr>
    </w:p>
    <w:p w14:paraId="744FAE15" w14:textId="1720949A" w:rsidR="00312FC6"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eastAsia="Arial Narrow" w:hAnsi="Arial" w:cs="Arial"/>
          <w:color w:val="000000" w:themeColor="text1"/>
        </w:rPr>
      </w:pPr>
      <w:r w:rsidRPr="004C4F6D">
        <w:rPr>
          <w:rFonts w:ascii="Arial" w:eastAsia="Arial Narrow" w:hAnsi="Arial" w:cs="Arial"/>
          <w:color w:val="000000" w:themeColor="text1"/>
        </w:rPr>
        <w:t xml:space="preserve">Upon recommendation, Management subsequently made the necessary adjusting entries to correct the misstatement of </w:t>
      </w:r>
      <w:r w:rsidRPr="004C4F6D">
        <w:rPr>
          <w:rFonts w:ascii="Arial" w:eastAsia="Arial Narrow" w:hAnsi="Arial" w:cs="Arial"/>
        </w:rPr>
        <w:t xml:space="preserve">P124,632,323.21. </w:t>
      </w:r>
      <w:r w:rsidRPr="004C4F6D">
        <w:rPr>
          <w:rFonts w:ascii="Arial" w:eastAsia="Arial Narrow" w:hAnsi="Arial" w:cs="Arial"/>
          <w:color w:val="000000" w:themeColor="text1"/>
        </w:rPr>
        <w:t>Further verification, however, disclosed root causes that need to be addressed to prevent recurrence.</w:t>
      </w:r>
      <w:r w:rsidR="00407C96" w:rsidRPr="004C4F6D">
        <w:rPr>
          <w:rFonts w:ascii="Arial" w:eastAsia="Arial Narrow" w:hAnsi="Arial" w:cs="Arial"/>
          <w:color w:val="000000" w:themeColor="text1"/>
        </w:rPr>
        <w:t xml:space="preserve"> Absence of</w:t>
      </w:r>
      <w:r w:rsidR="0004062C">
        <w:rPr>
          <w:rFonts w:ascii="Arial" w:eastAsia="Arial Narrow" w:hAnsi="Arial" w:cs="Arial"/>
          <w:color w:val="000000" w:themeColor="text1"/>
        </w:rPr>
        <w:t xml:space="preserve"> </w:t>
      </w:r>
      <w:r w:rsidR="00407C96" w:rsidRPr="004C4F6D">
        <w:rPr>
          <w:rFonts w:ascii="Arial" w:eastAsia="Arial Narrow" w:hAnsi="Arial" w:cs="Arial"/>
          <w:color w:val="000000" w:themeColor="text1"/>
        </w:rPr>
        <w:t>gu</w:t>
      </w:r>
      <w:r w:rsidR="0004062C">
        <w:rPr>
          <w:rFonts w:ascii="Arial" w:eastAsia="Arial Narrow" w:hAnsi="Arial" w:cs="Arial"/>
          <w:color w:val="000000" w:themeColor="text1"/>
        </w:rPr>
        <w:t>id</w:t>
      </w:r>
      <w:r w:rsidR="00407C96" w:rsidRPr="004C4F6D">
        <w:rPr>
          <w:rFonts w:ascii="Arial" w:eastAsia="Arial Narrow" w:hAnsi="Arial" w:cs="Arial"/>
          <w:color w:val="000000" w:themeColor="text1"/>
        </w:rPr>
        <w:t>elines including proper account ting entries increases the probability of recurring error risks.</w:t>
      </w:r>
    </w:p>
    <w:p w14:paraId="2FD646E4" w14:textId="77777777" w:rsidR="00312FC6" w:rsidRPr="004C4F6D" w:rsidRDefault="00312FC6" w:rsidP="004C4F6D">
      <w:pPr>
        <w:spacing w:after="0" w:line="240" w:lineRule="auto"/>
        <w:ind w:right="133"/>
        <w:jc w:val="both"/>
        <w:rPr>
          <w:rFonts w:ascii="Arial" w:eastAsia="Arial Narrow" w:hAnsi="Arial" w:cs="Arial"/>
          <w:color w:val="000000" w:themeColor="text1"/>
        </w:rPr>
      </w:pPr>
    </w:p>
    <w:p w14:paraId="4A6A603C" w14:textId="0D68BDF6" w:rsidR="00312FC6"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eastAsia="Arial Narrow" w:hAnsi="Arial" w:cs="Arial"/>
          <w:color w:val="000000"/>
        </w:rPr>
      </w:pPr>
      <w:r w:rsidRPr="004C4F6D">
        <w:rPr>
          <w:rFonts w:ascii="Arial" w:eastAsia="Arial Narrow" w:hAnsi="Arial" w:cs="Arial"/>
          <w:color w:val="000000" w:themeColor="text1"/>
        </w:rPr>
        <w:t xml:space="preserve">As explained by FDRD, the booking </w:t>
      </w:r>
      <w:r w:rsidR="00593008" w:rsidRPr="004C4F6D">
        <w:rPr>
          <w:rFonts w:ascii="Arial" w:eastAsia="Arial Narrow" w:hAnsi="Arial" w:cs="Arial"/>
          <w:color w:val="000000" w:themeColor="text1"/>
        </w:rPr>
        <w:t>to</w:t>
      </w:r>
      <w:r w:rsidRPr="004C4F6D">
        <w:rPr>
          <w:rFonts w:ascii="Arial" w:eastAsia="Arial Narrow" w:hAnsi="Arial" w:cs="Arial"/>
          <w:color w:val="000000" w:themeColor="text1"/>
        </w:rPr>
        <w:t xml:space="preserve"> M</w:t>
      </w:r>
      <w:r w:rsidR="00593008" w:rsidRPr="004C4F6D">
        <w:rPr>
          <w:rFonts w:ascii="Arial" w:eastAsia="Arial Narrow" w:hAnsi="Arial" w:cs="Arial"/>
          <w:color w:val="000000" w:themeColor="text1"/>
        </w:rPr>
        <w:t>E</w:t>
      </w:r>
      <w:r w:rsidRPr="004C4F6D">
        <w:rPr>
          <w:rFonts w:ascii="Arial" w:eastAsia="Arial Narrow" w:hAnsi="Arial" w:cs="Arial"/>
          <w:color w:val="000000" w:themeColor="text1"/>
        </w:rPr>
        <w:t xml:space="preserve"> </w:t>
      </w:r>
      <w:r w:rsidR="00593008" w:rsidRPr="004C4F6D">
        <w:rPr>
          <w:rFonts w:ascii="Arial" w:eastAsia="Arial Narrow" w:hAnsi="Arial" w:cs="Arial"/>
          <w:color w:val="000000" w:themeColor="text1"/>
        </w:rPr>
        <w:t xml:space="preserve">account </w:t>
      </w:r>
      <w:r w:rsidRPr="004C4F6D">
        <w:rPr>
          <w:rFonts w:ascii="Arial" w:eastAsia="Arial Narrow" w:hAnsi="Arial" w:cs="Arial"/>
          <w:color w:val="000000" w:themeColor="text1"/>
        </w:rPr>
        <w:t xml:space="preserve">of LPC transactions for CY 2022 was based on the identified </w:t>
      </w:r>
      <w:r w:rsidR="008D19FE" w:rsidRPr="004C4F6D">
        <w:rPr>
          <w:rFonts w:ascii="Arial" w:eastAsia="Arial Narrow" w:hAnsi="Arial" w:cs="Arial"/>
          <w:color w:val="000000" w:themeColor="text1"/>
        </w:rPr>
        <w:t xml:space="preserve">Mastercard </w:t>
      </w:r>
      <w:r w:rsidRPr="004C4F6D">
        <w:rPr>
          <w:rFonts w:ascii="Arial" w:eastAsia="Arial Narrow" w:hAnsi="Arial" w:cs="Arial"/>
          <w:color w:val="000000" w:themeColor="text1"/>
        </w:rPr>
        <w:t xml:space="preserve">transactions </w:t>
      </w:r>
      <w:r w:rsidR="008D19FE" w:rsidRPr="004C4F6D">
        <w:rPr>
          <w:rFonts w:ascii="Arial" w:eastAsia="Arial Narrow" w:hAnsi="Arial" w:cs="Arial"/>
          <w:color w:val="000000" w:themeColor="text1"/>
        </w:rPr>
        <w:t>i</w:t>
      </w:r>
      <w:r w:rsidRPr="004C4F6D">
        <w:rPr>
          <w:rFonts w:ascii="Arial" w:eastAsia="Arial Narrow" w:hAnsi="Arial" w:cs="Arial"/>
          <w:color w:val="000000" w:themeColor="text1"/>
        </w:rPr>
        <w:t xml:space="preserve">n the Daily Statement of Account received from Bank of America, New York. From the identified </w:t>
      </w:r>
      <w:r w:rsidR="008D19FE" w:rsidRPr="004C4F6D">
        <w:rPr>
          <w:rFonts w:ascii="Arial" w:eastAsia="Arial Narrow" w:hAnsi="Arial" w:cs="Arial"/>
          <w:color w:val="000000" w:themeColor="text1"/>
        </w:rPr>
        <w:t xml:space="preserve">Mastercard </w:t>
      </w:r>
      <w:r w:rsidRPr="004C4F6D">
        <w:rPr>
          <w:rFonts w:ascii="Arial" w:eastAsia="Arial Narrow" w:hAnsi="Arial" w:cs="Arial"/>
          <w:color w:val="000000" w:themeColor="text1"/>
        </w:rPr>
        <w:t xml:space="preserve">transactions, the amount </w:t>
      </w:r>
      <w:r w:rsidR="008D19FE" w:rsidRPr="004C4F6D">
        <w:rPr>
          <w:rFonts w:ascii="Arial" w:eastAsia="Arial Narrow" w:hAnsi="Arial" w:cs="Arial"/>
          <w:color w:val="000000" w:themeColor="text1"/>
        </w:rPr>
        <w:t>of</w:t>
      </w:r>
      <w:r w:rsidRPr="004C4F6D">
        <w:rPr>
          <w:rFonts w:ascii="Arial" w:eastAsia="Arial Narrow" w:hAnsi="Arial" w:cs="Arial"/>
          <w:color w:val="000000" w:themeColor="text1"/>
        </w:rPr>
        <w:t xml:space="preserve"> Mastercard Credit Card transactions based on </w:t>
      </w:r>
      <w:r w:rsidRPr="004C4F6D">
        <w:rPr>
          <w:rFonts w:ascii="Arial" w:eastAsia="Arial Narrow" w:hAnsi="Arial" w:cs="Arial"/>
          <w:color w:val="000000"/>
        </w:rPr>
        <w:t xml:space="preserve">the Digital Banking Support Department (DBSD) memorandum for the Settlement Dollar Transaction for LOMD </w:t>
      </w:r>
      <w:r w:rsidR="003E14DE" w:rsidRPr="004C4F6D">
        <w:rPr>
          <w:rFonts w:ascii="Arial" w:eastAsia="Arial Narrow" w:hAnsi="Arial" w:cs="Arial"/>
          <w:color w:val="000000"/>
        </w:rPr>
        <w:t>are</w:t>
      </w:r>
      <w:r w:rsidR="008D19FE" w:rsidRPr="004C4F6D">
        <w:rPr>
          <w:rFonts w:ascii="Arial" w:eastAsia="Arial Narrow" w:hAnsi="Arial" w:cs="Arial"/>
          <w:color w:val="000000"/>
        </w:rPr>
        <w:t xml:space="preserve"> deducted </w:t>
      </w:r>
      <w:r w:rsidRPr="004C4F6D">
        <w:rPr>
          <w:rFonts w:ascii="Arial" w:eastAsia="Arial Narrow" w:hAnsi="Arial" w:cs="Arial"/>
          <w:color w:val="000000"/>
        </w:rPr>
        <w:t xml:space="preserve">and the balance </w:t>
      </w:r>
      <w:r w:rsidR="008D19FE" w:rsidRPr="004C4F6D">
        <w:rPr>
          <w:rFonts w:ascii="Arial" w:eastAsia="Arial Narrow" w:hAnsi="Arial" w:cs="Arial"/>
          <w:color w:val="000000"/>
        </w:rPr>
        <w:t>are</w:t>
      </w:r>
      <w:r w:rsidRPr="004C4F6D">
        <w:rPr>
          <w:rFonts w:ascii="Arial" w:eastAsia="Arial Narrow" w:hAnsi="Arial" w:cs="Arial"/>
          <w:color w:val="000000"/>
        </w:rPr>
        <w:t xml:space="preserve"> assumed as </w:t>
      </w:r>
      <w:r w:rsidR="008D19FE" w:rsidRPr="004C4F6D">
        <w:rPr>
          <w:rFonts w:ascii="Arial" w:eastAsia="Arial Narrow" w:hAnsi="Arial" w:cs="Arial"/>
          <w:color w:val="000000"/>
        </w:rPr>
        <w:t xml:space="preserve">LPC </w:t>
      </w:r>
      <w:r w:rsidRPr="004C4F6D">
        <w:rPr>
          <w:rFonts w:ascii="Arial" w:eastAsia="Arial Narrow" w:hAnsi="Arial" w:cs="Arial"/>
          <w:color w:val="000000"/>
        </w:rPr>
        <w:t>transactions and recorded to M</w:t>
      </w:r>
      <w:r w:rsidR="008D19FE" w:rsidRPr="004C4F6D">
        <w:rPr>
          <w:rFonts w:ascii="Arial" w:eastAsia="Arial Narrow" w:hAnsi="Arial" w:cs="Arial"/>
          <w:color w:val="000000"/>
        </w:rPr>
        <w:t>E</w:t>
      </w:r>
      <w:r w:rsidR="003E14DE" w:rsidRPr="004C4F6D">
        <w:rPr>
          <w:rFonts w:ascii="Arial" w:eastAsia="Arial Narrow" w:hAnsi="Arial" w:cs="Arial"/>
          <w:color w:val="000000"/>
        </w:rPr>
        <w:t xml:space="preserve"> </w:t>
      </w:r>
      <w:r w:rsidR="008D19FE" w:rsidRPr="004C4F6D">
        <w:rPr>
          <w:rFonts w:ascii="Arial" w:eastAsia="Arial Narrow" w:hAnsi="Arial" w:cs="Arial"/>
          <w:color w:val="000000"/>
        </w:rPr>
        <w:t>account</w:t>
      </w:r>
      <w:r w:rsidRPr="004C4F6D">
        <w:rPr>
          <w:rFonts w:ascii="Arial" w:eastAsia="Arial Narrow" w:hAnsi="Arial" w:cs="Arial"/>
          <w:color w:val="000000"/>
        </w:rPr>
        <w:t xml:space="preserve">, without coordinating with AOSD on the breakdown and nature of the amount. </w:t>
      </w:r>
      <w:r w:rsidR="003E14DE" w:rsidRPr="004C4F6D">
        <w:rPr>
          <w:rFonts w:ascii="Arial" w:eastAsia="Arial Narrow" w:hAnsi="Arial" w:cs="Arial"/>
          <w:color w:val="000000"/>
        </w:rPr>
        <w:t>FDRD</w:t>
      </w:r>
      <w:r w:rsidRPr="004C4F6D">
        <w:rPr>
          <w:rFonts w:ascii="Arial" w:eastAsia="Arial Narrow" w:hAnsi="Arial" w:cs="Arial"/>
          <w:color w:val="000000"/>
        </w:rPr>
        <w:t xml:space="preserve"> also mentioned that the</w:t>
      </w:r>
      <w:r w:rsidR="00E875C2" w:rsidRPr="004C4F6D">
        <w:rPr>
          <w:rFonts w:ascii="Arial" w:eastAsia="Arial Narrow" w:hAnsi="Arial" w:cs="Arial"/>
          <w:color w:val="000000"/>
        </w:rPr>
        <w:t xml:space="preserve"> amounts </w:t>
      </w:r>
      <w:r w:rsidRPr="004C4F6D">
        <w:rPr>
          <w:rFonts w:ascii="Arial" w:eastAsia="Arial Narrow" w:hAnsi="Arial" w:cs="Arial"/>
          <w:color w:val="000000"/>
        </w:rPr>
        <w:t xml:space="preserve">should have been converted to PHP based on the Internal Reference Rate (IRR) at transaction date and the corresponding debit/credit ticket be issued </w:t>
      </w:r>
      <w:r w:rsidR="003E14DE" w:rsidRPr="004C4F6D">
        <w:rPr>
          <w:rFonts w:ascii="Arial" w:eastAsia="Arial Narrow" w:hAnsi="Arial" w:cs="Arial"/>
          <w:color w:val="000000"/>
        </w:rPr>
        <w:t xml:space="preserve">by AOSD </w:t>
      </w:r>
      <w:r w:rsidRPr="004C4F6D">
        <w:rPr>
          <w:rFonts w:ascii="Arial" w:eastAsia="Arial Narrow" w:hAnsi="Arial" w:cs="Arial"/>
          <w:color w:val="000000"/>
        </w:rPr>
        <w:t>to them for the booking of the settlement. However, AOSD did not provide debit/credit ticket as their basis in booking the settlement transactions.</w:t>
      </w:r>
    </w:p>
    <w:p w14:paraId="6DFABB9B" w14:textId="77777777" w:rsidR="00312FC6" w:rsidRPr="004C4F6D" w:rsidRDefault="00312FC6" w:rsidP="004C4F6D">
      <w:pPr>
        <w:spacing w:after="0" w:line="240" w:lineRule="auto"/>
        <w:ind w:right="133"/>
        <w:jc w:val="both"/>
        <w:rPr>
          <w:rFonts w:ascii="Arial" w:eastAsia="Arial Narrow" w:hAnsi="Arial" w:cs="Arial"/>
          <w:color w:val="000000"/>
        </w:rPr>
      </w:pPr>
    </w:p>
    <w:p w14:paraId="46FC1308" w14:textId="064C2B9C" w:rsidR="00312FC6"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eastAsia="Arial Narrow" w:hAnsi="Arial" w:cs="Arial"/>
          <w:color w:val="000000"/>
        </w:rPr>
      </w:pPr>
      <w:r w:rsidRPr="004C4F6D">
        <w:rPr>
          <w:rFonts w:ascii="Arial" w:eastAsia="Arial Narrow" w:hAnsi="Arial" w:cs="Arial"/>
          <w:color w:val="000000" w:themeColor="text1"/>
        </w:rPr>
        <w:lastRenderedPageBreak/>
        <w:t>Notably</w:t>
      </w:r>
      <w:r w:rsidRPr="004C4F6D">
        <w:rPr>
          <w:rFonts w:ascii="Arial" w:eastAsia="Arial Narrow" w:hAnsi="Arial" w:cs="Arial"/>
          <w:color w:val="000000"/>
        </w:rPr>
        <w:t xml:space="preserve">, Management informed that no approved guidelines, including proforma accounting entries, on handling of </w:t>
      </w:r>
      <w:r w:rsidR="003E14DE" w:rsidRPr="004C4F6D">
        <w:rPr>
          <w:rFonts w:ascii="Arial" w:eastAsia="Arial Narrow" w:hAnsi="Arial" w:cs="Arial"/>
          <w:color w:val="000000"/>
        </w:rPr>
        <w:t xml:space="preserve">LPC </w:t>
      </w:r>
      <w:r w:rsidRPr="004C4F6D">
        <w:rPr>
          <w:rFonts w:ascii="Arial" w:eastAsia="Arial Narrow" w:hAnsi="Arial" w:cs="Arial"/>
          <w:color w:val="000000"/>
        </w:rPr>
        <w:t xml:space="preserve">transactions have been issued.   </w:t>
      </w:r>
    </w:p>
    <w:p w14:paraId="4F72FF22" w14:textId="77777777" w:rsidR="00312FC6" w:rsidRPr="004C4F6D" w:rsidRDefault="00312FC6" w:rsidP="004C4F6D">
      <w:pPr>
        <w:spacing w:after="0" w:line="240" w:lineRule="auto"/>
        <w:ind w:left="360"/>
        <w:jc w:val="both"/>
        <w:rPr>
          <w:rFonts w:ascii="Arial" w:eastAsia="Arial Narrow" w:hAnsi="Arial" w:cs="Arial"/>
        </w:rPr>
      </w:pPr>
    </w:p>
    <w:p w14:paraId="09B2A468" w14:textId="0E578C57" w:rsidR="00312FC6" w:rsidRPr="004C4F6D" w:rsidRDefault="003919DE" w:rsidP="004C4F6D">
      <w:pPr>
        <w:pStyle w:val="ListParagraph"/>
        <w:numPr>
          <w:ilvl w:val="1"/>
          <w:numId w:val="43"/>
        </w:numPr>
        <w:autoSpaceDE w:val="0"/>
        <w:autoSpaceDN w:val="0"/>
        <w:adjustRightInd w:val="0"/>
        <w:spacing w:after="0" w:line="240" w:lineRule="auto"/>
        <w:ind w:left="709" w:firstLine="0"/>
        <w:jc w:val="both"/>
        <w:rPr>
          <w:rFonts w:ascii="Arial" w:eastAsia="Arial Narrow" w:hAnsi="Arial" w:cs="Arial"/>
          <w:bCs/>
          <w:iCs/>
          <w:color w:val="000000"/>
        </w:rPr>
      </w:pPr>
      <w:r w:rsidRPr="004C4F6D">
        <w:rPr>
          <w:rFonts w:ascii="Arial" w:eastAsia="Arial Narrow" w:hAnsi="Arial" w:cs="Arial"/>
          <w:bCs/>
          <w:iCs/>
          <w:color w:val="000000"/>
        </w:rPr>
        <w:t>Semi</w:t>
      </w:r>
      <w:r w:rsidRPr="004C4F6D">
        <w:rPr>
          <w:rFonts w:ascii="Arial" w:hAnsi="Arial" w:cs="Arial"/>
          <w:bCs/>
          <w:iCs/>
        </w:rPr>
        <w:t>-expendable properties already issued to end-users, erroneously classified and reported as Supplies and Stationeries (SOS) on hand - P69.959 million total misstatements detected and adjusted</w:t>
      </w:r>
      <w:r w:rsidR="00986619">
        <w:rPr>
          <w:rFonts w:ascii="Arial" w:hAnsi="Arial" w:cs="Arial"/>
          <w:bCs/>
          <w:iCs/>
        </w:rPr>
        <w:t>.</w:t>
      </w:r>
    </w:p>
    <w:p w14:paraId="2559D039" w14:textId="77777777" w:rsidR="00312FC6" w:rsidRPr="004C4F6D" w:rsidRDefault="00312FC6" w:rsidP="004C4F6D">
      <w:pPr>
        <w:spacing w:after="0" w:line="240" w:lineRule="auto"/>
        <w:ind w:left="360" w:right="140"/>
        <w:jc w:val="both"/>
        <w:rPr>
          <w:rFonts w:ascii="Arial" w:eastAsia="Arial Narrow" w:hAnsi="Arial" w:cs="Arial"/>
          <w:b/>
          <w:i/>
          <w:iCs/>
          <w:color w:val="000000"/>
        </w:rPr>
      </w:pPr>
    </w:p>
    <w:p w14:paraId="0195D528" w14:textId="6B7597EE" w:rsidR="00312FC6" w:rsidRPr="004C4F6D" w:rsidRDefault="004B4C7D" w:rsidP="004C4F6D">
      <w:pPr>
        <w:pStyle w:val="ListParagraph"/>
        <w:numPr>
          <w:ilvl w:val="2"/>
          <w:numId w:val="43"/>
        </w:numPr>
        <w:autoSpaceDE w:val="0"/>
        <w:autoSpaceDN w:val="0"/>
        <w:adjustRightInd w:val="0"/>
        <w:spacing w:after="0" w:line="240" w:lineRule="auto"/>
        <w:ind w:left="1800" w:hanging="360"/>
        <w:jc w:val="both"/>
        <w:rPr>
          <w:rFonts w:ascii="Arial" w:hAnsi="Arial" w:cs="Arial"/>
        </w:rPr>
      </w:pPr>
      <w:r w:rsidRPr="004C4F6D">
        <w:rPr>
          <w:rFonts w:ascii="Arial" w:hAnsi="Arial" w:cs="Arial"/>
        </w:rPr>
        <w:t>V</w:t>
      </w:r>
      <w:r w:rsidR="003919DE" w:rsidRPr="004C4F6D">
        <w:rPr>
          <w:rFonts w:ascii="Arial" w:hAnsi="Arial" w:cs="Arial"/>
        </w:rPr>
        <w:t xml:space="preserve">erification of the Reconciliation Statement of Stationery and Office Supplies on Hand as of December 31, 2022, </w:t>
      </w:r>
      <w:r w:rsidR="00076B22" w:rsidRPr="004C4F6D">
        <w:rPr>
          <w:rFonts w:ascii="Arial" w:hAnsi="Arial" w:cs="Arial"/>
        </w:rPr>
        <w:t xml:space="preserve">noted </w:t>
      </w:r>
      <w:r w:rsidR="003919DE" w:rsidRPr="004C4F6D">
        <w:rPr>
          <w:rFonts w:ascii="Arial" w:hAnsi="Arial" w:cs="Arial"/>
        </w:rPr>
        <w:t xml:space="preserve">13 reconciling items with a net amount of P80.813 million were not included in the Administrative Accounting Department’s (AAD’s) subsidiary ledger balance as of December 31, 2022. Of that amount, a total of P69.959 </w:t>
      </w:r>
      <w:r w:rsidR="00076B22" w:rsidRPr="004C4F6D">
        <w:rPr>
          <w:rFonts w:ascii="Arial" w:eastAsia="Arial Narrow" w:hAnsi="Arial" w:cs="Arial"/>
          <w:bCs/>
          <w:iCs/>
          <w:color w:val="000000"/>
        </w:rPr>
        <w:t>semi</w:t>
      </w:r>
      <w:r w:rsidR="00076B22" w:rsidRPr="004C4F6D">
        <w:rPr>
          <w:rFonts w:ascii="Arial" w:hAnsi="Arial" w:cs="Arial"/>
          <w:bCs/>
          <w:iCs/>
        </w:rPr>
        <w:t>-expendable properties</w:t>
      </w:r>
      <w:r w:rsidR="00076B22" w:rsidRPr="004C4F6D">
        <w:rPr>
          <w:rFonts w:ascii="Arial" w:hAnsi="Arial" w:cs="Arial"/>
        </w:rPr>
        <w:t xml:space="preserve"> </w:t>
      </w:r>
      <w:r w:rsidR="003919DE" w:rsidRPr="004C4F6D">
        <w:rPr>
          <w:rFonts w:ascii="Arial" w:hAnsi="Arial" w:cs="Arial"/>
        </w:rPr>
        <w:t xml:space="preserve">were found issued to end-users but classified and reported as SOS on hand, not expensed for the year ending December 31, 2022. </w:t>
      </w:r>
    </w:p>
    <w:p w14:paraId="6C1F06B7" w14:textId="77777777" w:rsidR="00312FC6" w:rsidRPr="004C4F6D" w:rsidRDefault="00312FC6" w:rsidP="004C4F6D">
      <w:pPr>
        <w:pStyle w:val="ListParagraph"/>
        <w:autoSpaceDE w:val="0"/>
        <w:autoSpaceDN w:val="0"/>
        <w:adjustRightInd w:val="0"/>
        <w:spacing w:after="0" w:line="240" w:lineRule="auto"/>
        <w:ind w:left="0"/>
        <w:jc w:val="both"/>
        <w:rPr>
          <w:rFonts w:ascii="Arial" w:hAnsi="Arial" w:cs="Arial"/>
        </w:rPr>
      </w:pPr>
    </w:p>
    <w:p w14:paraId="2A7386BD" w14:textId="28EADD4A" w:rsidR="001859F7"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hAnsi="Arial" w:cs="Arial"/>
        </w:rPr>
      </w:pPr>
      <w:r w:rsidRPr="004C4F6D">
        <w:rPr>
          <w:rFonts w:ascii="Arial" w:hAnsi="Arial" w:cs="Arial"/>
        </w:rPr>
        <w:t>The Administrative Accounting (AAD) averred that they were not informed of the</w:t>
      </w:r>
      <w:r w:rsidR="000A4814" w:rsidRPr="004C4F6D">
        <w:rPr>
          <w:rFonts w:ascii="Arial" w:hAnsi="Arial" w:cs="Arial"/>
        </w:rPr>
        <w:t xml:space="preserve"> issued </w:t>
      </w:r>
      <w:r w:rsidRPr="004C4F6D">
        <w:rPr>
          <w:rFonts w:ascii="Arial" w:hAnsi="Arial" w:cs="Arial"/>
        </w:rPr>
        <w:t>semi-expendable properties</w:t>
      </w:r>
      <w:r w:rsidR="000A4814" w:rsidRPr="004C4F6D">
        <w:rPr>
          <w:rFonts w:ascii="Arial" w:hAnsi="Arial" w:cs="Arial"/>
        </w:rPr>
        <w:t xml:space="preserve"> </w:t>
      </w:r>
      <w:r w:rsidRPr="004C4F6D">
        <w:rPr>
          <w:rFonts w:ascii="Arial" w:hAnsi="Arial" w:cs="Arial"/>
        </w:rPr>
        <w:t xml:space="preserve">and </w:t>
      </w:r>
      <w:r w:rsidR="000A4814" w:rsidRPr="004C4F6D">
        <w:rPr>
          <w:rFonts w:ascii="Arial" w:hAnsi="Arial" w:cs="Arial"/>
        </w:rPr>
        <w:t xml:space="preserve">the </w:t>
      </w:r>
      <w:r w:rsidRPr="004C4F6D">
        <w:rPr>
          <w:rFonts w:ascii="Arial" w:hAnsi="Arial" w:cs="Arial"/>
        </w:rPr>
        <w:t xml:space="preserve">Facilities Management Department (FMD) have not received documents </w:t>
      </w:r>
      <w:r w:rsidR="000A4814" w:rsidRPr="004C4F6D">
        <w:rPr>
          <w:rFonts w:ascii="Arial" w:hAnsi="Arial" w:cs="Arial"/>
        </w:rPr>
        <w:t xml:space="preserve">on </w:t>
      </w:r>
      <w:r w:rsidRPr="004C4F6D">
        <w:rPr>
          <w:rFonts w:ascii="Arial" w:hAnsi="Arial" w:cs="Arial"/>
        </w:rPr>
        <w:t xml:space="preserve">the issuance of said items. AAD added that the </w:t>
      </w:r>
      <w:r w:rsidR="001859F7" w:rsidRPr="004C4F6D">
        <w:rPr>
          <w:rFonts w:ascii="Arial" w:hAnsi="Arial" w:cs="Arial"/>
        </w:rPr>
        <w:t xml:space="preserve">Administrative Services Officer (ASO) of the Supplies Management Division (SMD) under </w:t>
      </w:r>
      <w:r w:rsidRPr="004C4F6D">
        <w:rPr>
          <w:rFonts w:ascii="Arial" w:hAnsi="Arial" w:cs="Arial"/>
        </w:rPr>
        <w:t>FMD is responsible for the</w:t>
      </w:r>
      <w:r w:rsidR="001859F7" w:rsidRPr="004C4F6D">
        <w:rPr>
          <w:rFonts w:ascii="Arial" w:hAnsi="Arial" w:cs="Arial"/>
        </w:rPr>
        <w:t xml:space="preserve"> preparation </w:t>
      </w:r>
      <w:r w:rsidRPr="004C4F6D">
        <w:rPr>
          <w:rFonts w:ascii="Arial" w:hAnsi="Arial" w:cs="Arial"/>
        </w:rPr>
        <w:t xml:space="preserve">of the report on the issuances of office supplies and semi-expendable items </w:t>
      </w:r>
      <w:r w:rsidR="001859F7" w:rsidRPr="004C4F6D">
        <w:rPr>
          <w:rFonts w:ascii="Arial" w:hAnsi="Arial" w:cs="Arial"/>
        </w:rPr>
        <w:t xml:space="preserve">and the submission of said report to AAD </w:t>
      </w:r>
      <w:r w:rsidRPr="004C4F6D">
        <w:rPr>
          <w:rFonts w:ascii="Arial" w:hAnsi="Arial" w:cs="Arial"/>
        </w:rPr>
        <w:t xml:space="preserve">as </w:t>
      </w:r>
      <w:r w:rsidR="001859F7" w:rsidRPr="004C4F6D">
        <w:rPr>
          <w:rFonts w:ascii="Arial" w:hAnsi="Arial" w:cs="Arial"/>
        </w:rPr>
        <w:t>provided for in</w:t>
      </w:r>
      <w:r w:rsidRPr="004C4F6D">
        <w:rPr>
          <w:rFonts w:ascii="Arial" w:hAnsi="Arial" w:cs="Arial"/>
        </w:rPr>
        <w:t xml:space="preserve"> No. 19, Letter A, Item 102 of Chapter 1 of the Manual of Facilities Management Department on the Issuance of Office Supplies, Electrical, Hardware and Other Supplies</w:t>
      </w:r>
      <w:r w:rsidR="001859F7" w:rsidRPr="004C4F6D">
        <w:rPr>
          <w:rFonts w:ascii="Arial" w:hAnsi="Arial" w:cs="Arial"/>
        </w:rPr>
        <w:t>.</w:t>
      </w:r>
    </w:p>
    <w:p w14:paraId="3EA528EA" w14:textId="77777777" w:rsidR="00312FC6" w:rsidRPr="004C4F6D" w:rsidRDefault="00312FC6" w:rsidP="004C4F6D">
      <w:pPr>
        <w:pStyle w:val="ListParagraph"/>
      </w:pPr>
    </w:p>
    <w:p w14:paraId="611F758B" w14:textId="6E0F643E" w:rsidR="00312FC6" w:rsidRPr="004C4F6D" w:rsidRDefault="00407C96" w:rsidP="004C4F6D">
      <w:pPr>
        <w:pStyle w:val="ListParagraph"/>
        <w:numPr>
          <w:ilvl w:val="2"/>
          <w:numId w:val="43"/>
        </w:numPr>
        <w:autoSpaceDE w:val="0"/>
        <w:autoSpaceDN w:val="0"/>
        <w:adjustRightInd w:val="0"/>
        <w:spacing w:after="0" w:line="240" w:lineRule="auto"/>
        <w:ind w:left="1800" w:hanging="360"/>
        <w:jc w:val="both"/>
        <w:rPr>
          <w:rFonts w:ascii="Arial" w:hAnsi="Arial" w:cs="Arial"/>
        </w:rPr>
      </w:pPr>
      <w:r w:rsidRPr="004C4F6D">
        <w:rPr>
          <w:rFonts w:ascii="Arial" w:hAnsi="Arial" w:cs="Arial"/>
        </w:rPr>
        <w:t>V</w:t>
      </w:r>
      <w:r w:rsidR="003919DE" w:rsidRPr="004C4F6D">
        <w:rPr>
          <w:rFonts w:ascii="Arial" w:hAnsi="Arial" w:cs="Arial"/>
        </w:rPr>
        <w:t>erification with FMD</w:t>
      </w:r>
      <w:r w:rsidRPr="004C4F6D">
        <w:rPr>
          <w:rFonts w:ascii="Arial" w:hAnsi="Arial" w:cs="Arial"/>
        </w:rPr>
        <w:t xml:space="preserve"> showed</w:t>
      </w:r>
      <w:r w:rsidR="003919DE" w:rsidRPr="004C4F6D">
        <w:rPr>
          <w:rFonts w:ascii="Arial" w:hAnsi="Arial" w:cs="Arial"/>
        </w:rPr>
        <w:t xml:space="preserve"> that </w:t>
      </w:r>
      <w:r w:rsidRPr="004C4F6D">
        <w:rPr>
          <w:rFonts w:ascii="Arial" w:hAnsi="Arial" w:cs="Arial"/>
        </w:rPr>
        <w:t xml:space="preserve">the </w:t>
      </w:r>
      <w:r w:rsidR="003919DE" w:rsidRPr="004C4F6D">
        <w:rPr>
          <w:rFonts w:ascii="Arial" w:hAnsi="Arial" w:cs="Arial"/>
        </w:rPr>
        <w:t>function</w:t>
      </w:r>
      <w:r w:rsidR="006F7047" w:rsidRPr="004C4F6D">
        <w:rPr>
          <w:rFonts w:ascii="Arial" w:hAnsi="Arial" w:cs="Arial"/>
        </w:rPr>
        <w:t>s earlier discussed</w:t>
      </w:r>
      <w:r w:rsidR="003919DE" w:rsidRPr="004C4F6D">
        <w:rPr>
          <w:rFonts w:ascii="Arial" w:hAnsi="Arial" w:cs="Arial"/>
        </w:rPr>
        <w:t xml:space="preserve"> w</w:t>
      </w:r>
      <w:r w:rsidRPr="004C4F6D">
        <w:rPr>
          <w:rFonts w:ascii="Arial" w:hAnsi="Arial" w:cs="Arial"/>
        </w:rPr>
        <w:t>ere</w:t>
      </w:r>
      <w:r w:rsidR="003919DE" w:rsidRPr="004C4F6D">
        <w:rPr>
          <w:rFonts w:ascii="Arial" w:hAnsi="Arial" w:cs="Arial"/>
        </w:rPr>
        <w:t xml:space="preserve"> already transferred to the Procurement Department (ProcD). The SMD, which was previously under the FMD, was transferred to ProcD and was renamed Supplies Management Team (SMT)</w:t>
      </w:r>
      <w:r w:rsidR="006F7047" w:rsidRPr="004C4F6D">
        <w:rPr>
          <w:rFonts w:ascii="Arial" w:hAnsi="Arial" w:cs="Arial"/>
        </w:rPr>
        <w:t xml:space="preserve"> as </w:t>
      </w:r>
      <w:r w:rsidR="003919DE" w:rsidRPr="004C4F6D">
        <w:rPr>
          <w:rFonts w:ascii="Arial" w:hAnsi="Arial" w:cs="Arial"/>
        </w:rPr>
        <w:t xml:space="preserve">shown </w:t>
      </w:r>
      <w:r w:rsidR="006F7047" w:rsidRPr="004C4F6D">
        <w:rPr>
          <w:rFonts w:ascii="Arial" w:hAnsi="Arial" w:cs="Arial"/>
        </w:rPr>
        <w:t>i</w:t>
      </w:r>
      <w:r w:rsidR="003919DE" w:rsidRPr="004C4F6D">
        <w:rPr>
          <w:rFonts w:ascii="Arial" w:hAnsi="Arial" w:cs="Arial"/>
        </w:rPr>
        <w:t>n Special Order (SO) No. 539 series of 2021</w:t>
      </w:r>
      <w:r w:rsidR="006F7047" w:rsidRPr="004C4F6D">
        <w:rPr>
          <w:rFonts w:ascii="Arial" w:hAnsi="Arial" w:cs="Arial"/>
        </w:rPr>
        <w:t xml:space="preserve"> signed and took effect on June 11, 2021</w:t>
      </w:r>
      <w:r w:rsidR="003919DE" w:rsidRPr="004C4F6D">
        <w:rPr>
          <w:rFonts w:ascii="Arial" w:hAnsi="Arial" w:cs="Arial"/>
        </w:rPr>
        <w:t>, approving the new organizational chart of the Procurement Department</w:t>
      </w:r>
      <w:r w:rsidR="006F7047" w:rsidRPr="004C4F6D">
        <w:rPr>
          <w:rFonts w:ascii="Arial" w:hAnsi="Arial" w:cs="Arial"/>
        </w:rPr>
        <w:t xml:space="preserve">. </w:t>
      </w:r>
      <w:r w:rsidR="003919DE" w:rsidRPr="004C4F6D">
        <w:rPr>
          <w:rFonts w:ascii="Arial" w:hAnsi="Arial" w:cs="Arial"/>
        </w:rPr>
        <w:t xml:space="preserve"> SMT is now under ProcD, and FMD’s claim of transfer of responsibility. </w:t>
      </w:r>
    </w:p>
    <w:p w14:paraId="0EED3BDA" w14:textId="77777777" w:rsidR="00312FC6" w:rsidRPr="004C4F6D" w:rsidRDefault="00312FC6" w:rsidP="004C4F6D">
      <w:pPr>
        <w:spacing w:after="0" w:line="240" w:lineRule="auto"/>
        <w:ind w:right="133"/>
        <w:jc w:val="both"/>
        <w:rPr>
          <w:rFonts w:ascii="Arial" w:hAnsi="Arial" w:cs="Arial"/>
        </w:rPr>
      </w:pPr>
    </w:p>
    <w:p w14:paraId="3E1DD251" w14:textId="61B05F5F" w:rsidR="00312FC6"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hAnsi="Arial" w:cs="Arial"/>
        </w:rPr>
      </w:pPr>
      <w:r w:rsidRPr="004C4F6D">
        <w:rPr>
          <w:rFonts w:ascii="Arial" w:hAnsi="Arial" w:cs="Arial"/>
        </w:rPr>
        <w:t>Prior to the transfer of SMD to ProcD and its renaming to SMT, FMD submits the reports and documents pertaining to the issuances of office supplies and semi-expendable items to AAD for the updating of the balance of the asset account and recognizing the equivalent expense account Stationery and Office Supplies Used. FMD also prepar</w:t>
      </w:r>
      <w:r w:rsidR="00545A7D" w:rsidRPr="004C4F6D">
        <w:rPr>
          <w:rFonts w:ascii="Arial" w:hAnsi="Arial" w:cs="Arial"/>
        </w:rPr>
        <w:t>e</w:t>
      </w:r>
      <w:r w:rsidRPr="004C4F6D">
        <w:rPr>
          <w:rFonts w:ascii="Arial" w:hAnsi="Arial" w:cs="Arial"/>
        </w:rPr>
        <w:t xml:space="preserve"> reconciliation report of the stock level of the office supplies and semi-expendable items, which includes not only the items stored in the warehouse but also the items in custody of NOD, PCMD and SID. After the </w:t>
      </w:r>
      <w:r w:rsidR="00545A7D" w:rsidRPr="004C4F6D">
        <w:rPr>
          <w:rFonts w:ascii="Arial" w:hAnsi="Arial" w:cs="Arial"/>
        </w:rPr>
        <w:t xml:space="preserve">transfer of </w:t>
      </w:r>
      <w:r w:rsidRPr="004C4F6D">
        <w:rPr>
          <w:rFonts w:ascii="Arial" w:hAnsi="Arial" w:cs="Arial"/>
        </w:rPr>
        <w:t xml:space="preserve">SMD </w:t>
      </w:r>
      <w:r w:rsidR="00545A7D" w:rsidRPr="004C4F6D">
        <w:rPr>
          <w:rFonts w:ascii="Arial" w:hAnsi="Arial" w:cs="Arial"/>
        </w:rPr>
        <w:t xml:space="preserve">to </w:t>
      </w:r>
      <w:r w:rsidRPr="004C4F6D">
        <w:rPr>
          <w:rFonts w:ascii="Arial" w:hAnsi="Arial" w:cs="Arial"/>
        </w:rPr>
        <w:t xml:space="preserve">ProcD, FMD discontinued sending copies of </w:t>
      </w:r>
      <w:r w:rsidR="004119AF" w:rsidRPr="004C4F6D">
        <w:rPr>
          <w:rFonts w:ascii="Arial" w:hAnsi="Arial" w:cs="Arial"/>
        </w:rPr>
        <w:t>Property Transfer Slip (</w:t>
      </w:r>
      <w:r w:rsidRPr="004C4F6D">
        <w:rPr>
          <w:rFonts w:ascii="Arial" w:hAnsi="Arial" w:cs="Arial"/>
        </w:rPr>
        <w:t>PTS</w:t>
      </w:r>
      <w:r w:rsidR="004119AF" w:rsidRPr="004C4F6D">
        <w:rPr>
          <w:rFonts w:ascii="Arial" w:hAnsi="Arial" w:cs="Arial"/>
        </w:rPr>
        <w:t>)</w:t>
      </w:r>
      <w:r w:rsidRPr="004C4F6D">
        <w:rPr>
          <w:rFonts w:ascii="Arial" w:hAnsi="Arial" w:cs="Arial"/>
        </w:rPr>
        <w:t xml:space="preserve">, the preparation of reconciliation reports and other source documents </w:t>
      </w:r>
      <w:r w:rsidR="00545A7D" w:rsidRPr="004C4F6D">
        <w:rPr>
          <w:rFonts w:ascii="Arial" w:hAnsi="Arial" w:cs="Arial"/>
        </w:rPr>
        <w:t>to AAD indicating</w:t>
      </w:r>
      <w:r w:rsidRPr="004C4F6D">
        <w:rPr>
          <w:rFonts w:ascii="Arial" w:hAnsi="Arial" w:cs="Arial"/>
        </w:rPr>
        <w:t xml:space="preserve"> the absence of an updated policy/guideline </w:t>
      </w:r>
      <w:r w:rsidR="00545A7D" w:rsidRPr="004C4F6D">
        <w:rPr>
          <w:rFonts w:ascii="Arial" w:hAnsi="Arial" w:cs="Arial"/>
        </w:rPr>
        <w:t xml:space="preserve">on </w:t>
      </w:r>
      <w:r w:rsidRPr="004C4F6D">
        <w:rPr>
          <w:rFonts w:ascii="Arial" w:hAnsi="Arial" w:cs="Arial"/>
        </w:rPr>
        <w:t>the responsibilities of concerned units as a result of the new organizational chart</w:t>
      </w:r>
      <w:r w:rsidR="00545A7D" w:rsidRPr="004C4F6D">
        <w:rPr>
          <w:rFonts w:ascii="Arial" w:hAnsi="Arial" w:cs="Arial"/>
        </w:rPr>
        <w:t xml:space="preserve"> of FMD</w:t>
      </w:r>
      <w:r w:rsidRPr="004C4F6D">
        <w:rPr>
          <w:rFonts w:ascii="Arial" w:hAnsi="Arial" w:cs="Arial"/>
        </w:rPr>
        <w:t xml:space="preserve">. </w:t>
      </w:r>
    </w:p>
    <w:p w14:paraId="191A4924" w14:textId="6CF82876" w:rsidR="00312FC6" w:rsidRPr="004C4F6D" w:rsidRDefault="00312FC6" w:rsidP="004C4F6D">
      <w:pPr>
        <w:spacing w:after="0" w:line="240" w:lineRule="auto"/>
        <w:ind w:right="133"/>
        <w:jc w:val="both"/>
        <w:rPr>
          <w:rFonts w:ascii="Arial" w:hAnsi="Arial" w:cs="Arial"/>
        </w:rPr>
      </w:pPr>
    </w:p>
    <w:p w14:paraId="36B00C88" w14:textId="2FA48624" w:rsidR="00312FC6" w:rsidRPr="004C4F6D" w:rsidRDefault="00A13A4F" w:rsidP="004C4F6D">
      <w:pPr>
        <w:pStyle w:val="ListParagraph"/>
        <w:numPr>
          <w:ilvl w:val="2"/>
          <w:numId w:val="43"/>
        </w:numPr>
        <w:autoSpaceDE w:val="0"/>
        <w:autoSpaceDN w:val="0"/>
        <w:adjustRightInd w:val="0"/>
        <w:spacing w:after="0" w:line="240" w:lineRule="auto"/>
        <w:ind w:left="1800" w:hanging="360"/>
        <w:jc w:val="both"/>
        <w:rPr>
          <w:rFonts w:ascii="Arial" w:eastAsia="Arial Narrow" w:hAnsi="Arial" w:cs="Arial"/>
          <w:b/>
          <w:color w:val="000000"/>
        </w:rPr>
      </w:pPr>
      <w:r w:rsidRPr="004C4F6D">
        <w:rPr>
          <w:rFonts w:ascii="Arial" w:hAnsi="Arial" w:cs="Arial"/>
        </w:rPr>
        <w:lastRenderedPageBreak/>
        <w:t>However, the functions and responsibilities of SMD transferred to ProcD were not updated and no related policy issued. I</w:t>
      </w:r>
      <w:r w:rsidR="007E6F1F" w:rsidRPr="004C4F6D">
        <w:rPr>
          <w:rFonts w:ascii="Arial" w:hAnsi="Arial" w:cs="Arial"/>
        </w:rPr>
        <w:t>t is</w:t>
      </w:r>
      <w:r w:rsidR="003919DE" w:rsidRPr="004C4F6D">
        <w:rPr>
          <w:rFonts w:ascii="Arial" w:hAnsi="Arial" w:cs="Arial"/>
        </w:rPr>
        <w:t xml:space="preserve"> unc</w:t>
      </w:r>
      <w:r w:rsidR="006737B4" w:rsidRPr="004C4F6D">
        <w:rPr>
          <w:rFonts w:ascii="Arial" w:hAnsi="Arial" w:cs="Arial"/>
        </w:rPr>
        <w:t>lear</w:t>
      </w:r>
      <w:r w:rsidR="003919DE" w:rsidRPr="004C4F6D">
        <w:rPr>
          <w:rFonts w:ascii="Arial" w:hAnsi="Arial" w:cs="Arial"/>
        </w:rPr>
        <w:t xml:space="preserve"> </w:t>
      </w:r>
      <w:r w:rsidRPr="004C4F6D">
        <w:rPr>
          <w:rFonts w:ascii="Arial" w:hAnsi="Arial" w:cs="Arial"/>
        </w:rPr>
        <w:t>on the</w:t>
      </w:r>
      <w:r w:rsidR="003919DE" w:rsidRPr="004C4F6D">
        <w:rPr>
          <w:rFonts w:ascii="Arial" w:hAnsi="Arial" w:cs="Arial"/>
        </w:rPr>
        <w:t xml:space="preserve"> department </w:t>
      </w:r>
      <w:r w:rsidRPr="004C4F6D">
        <w:rPr>
          <w:rFonts w:ascii="Arial" w:hAnsi="Arial" w:cs="Arial"/>
        </w:rPr>
        <w:t xml:space="preserve">responsible </w:t>
      </w:r>
      <w:r w:rsidR="003919DE" w:rsidRPr="004C4F6D">
        <w:rPr>
          <w:rFonts w:ascii="Arial" w:hAnsi="Arial" w:cs="Arial"/>
        </w:rPr>
        <w:t>to submit PTS and other source documents to AAD and to prepare the Reconciliation Report on the Stationery and Office Supplies</w:t>
      </w:r>
      <w:r w:rsidRPr="004C4F6D">
        <w:rPr>
          <w:rFonts w:ascii="Arial" w:hAnsi="Arial" w:cs="Arial"/>
        </w:rPr>
        <w:t xml:space="preserve">, hence, </w:t>
      </w:r>
      <w:r w:rsidR="003919DE" w:rsidRPr="004C4F6D">
        <w:rPr>
          <w:rFonts w:ascii="Arial" w:hAnsi="Arial" w:cs="Arial"/>
        </w:rPr>
        <w:t xml:space="preserve">resulted </w:t>
      </w:r>
      <w:r w:rsidRPr="004C4F6D">
        <w:rPr>
          <w:rFonts w:ascii="Arial" w:hAnsi="Arial" w:cs="Arial"/>
        </w:rPr>
        <w:t>in</w:t>
      </w:r>
      <w:r w:rsidR="003919DE" w:rsidRPr="004C4F6D">
        <w:rPr>
          <w:rFonts w:ascii="Arial" w:hAnsi="Arial" w:cs="Arial"/>
        </w:rPr>
        <w:t xml:space="preserve"> incomplete reconciliation of SSOH and SSU as of year-end.  </w:t>
      </w:r>
    </w:p>
    <w:p w14:paraId="41A9E170" w14:textId="77777777" w:rsidR="00312FC6" w:rsidRPr="004C4F6D" w:rsidRDefault="00312FC6" w:rsidP="004C4F6D">
      <w:pPr>
        <w:spacing w:after="0" w:line="240" w:lineRule="auto"/>
        <w:ind w:right="133"/>
        <w:jc w:val="both"/>
        <w:rPr>
          <w:rFonts w:ascii="Arial" w:eastAsia="Arial Narrow" w:hAnsi="Arial" w:cs="Arial"/>
          <w:b/>
          <w:color w:val="000000"/>
        </w:rPr>
      </w:pPr>
    </w:p>
    <w:p w14:paraId="2D3A679F" w14:textId="3DA9C1F9" w:rsidR="00312FC6" w:rsidRPr="004C4F6D" w:rsidRDefault="003919DE" w:rsidP="004C4F6D">
      <w:pPr>
        <w:pStyle w:val="ListParagraph"/>
        <w:numPr>
          <w:ilvl w:val="1"/>
          <w:numId w:val="43"/>
        </w:numPr>
        <w:autoSpaceDE w:val="0"/>
        <w:autoSpaceDN w:val="0"/>
        <w:adjustRightInd w:val="0"/>
        <w:spacing w:after="0" w:line="240" w:lineRule="auto"/>
        <w:ind w:left="720" w:firstLine="0"/>
        <w:jc w:val="both"/>
        <w:rPr>
          <w:rFonts w:ascii="Arial" w:eastAsia="Arial Narrow" w:hAnsi="Arial" w:cs="Arial"/>
          <w:bCs/>
          <w:iCs/>
          <w:color w:val="000000"/>
        </w:rPr>
      </w:pPr>
      <w:r w:rsidRPr="004C4F6D">
        <w:rPr>
          <w:rFonts w:ascii="Arial" w:hAnsi="Arial" w:cs="Arial"/>
          <w:bCs/>
          <w:iCs/>
        </w:rPr>
        <w:t>Unsettled Accounts Payable</w:t>
      </w:r>
      <w:r w:rsidR="005B2E84" w:rsidRPr="004C4F6D">
        <w:rPr>
          <w:rFonts w:ascii="Arial" w:hAnsi="Arial" w:cs="Arial"/>
          <w:bCs/>
          <w:iCs/>
        </w:rPr>
        <w:t xml:space="preserve"> (AP)</w:t>
      </w:r>
      <w:r w:rsidRPr="004C4F6D">
        <w:rPr>
          <w:rFonts w:ascii="Arial" w:hAnsi="Arial" w:cs="Arial"/>
          <w:bCs/>
          <w:iCs/>
        </w:rPr>
        <w:t xml:space="preserve"> - Resident-Various-Non Deposit account representing proceeds and interests of clients’ matured investments </w:t>
      </w:r>
      <w:r w:rsidR="009A6DA4" w:rsidRPr="004C4F6D">
        <w:rPr>
          <w:rFonts w:ascii="Arial" w:hAnsi="Arial" w:cs="Arial"/>
          <w:bCs/>
          <w:iCs/>
        </w:rPr>
        <w:t>amounting to</w:t>
      </w:r>
      <w:r w:rsidRPr="004C4F6D">
        <w:rPr>
          <w:rFonts w:ascii="Arial" w:hAnsi="Arial" w:cs="Arial"/>
          <w:bCs/>
          <w:iCs/>
        </w:rPr>
        <w:t xml:space="preserve"> P1.474 million </w:t>
      </w:r>
      <w:r w:rsidR="009A6DA4" w:rsidRPr="004C4F6D">
        <w:rPr>
          <w:rFonts w:ascii="Arial" w:hAnsi="Arial" w:cs="Arial"/>
          <w:bCs/>
          <w:iCs/>
        </w:rPr>
        <w:t xml:space="preserve">are </w:t>
      </w:r>
      <w:r w:rsidRPr="004C4F6D">
        <w:rPr>
          <w:rFonts w:ascii="Arial" w:hAnsi="Arial" w:cs="Arial"/>
          <w:bCs/>
          <w:iCs/>
        </w:rPr>
        <w:t>outstanding for over two (2) to 15 years</w:t>
      </w:r>
      <w:r w:rsidR="00986619">
        <w:rPr>
          <w:rFonts w:ascii="Arial" w:hAnsi="Arial" w:cs="Arial"/>
          <w:bCs/>
          <w:iCs/>
        </w:rPr>
        <w:t>.</w:t>
      </w:r>
    </w:p>
    <w:p w14:paraId="34A601C0" w14:textId="77777777" w:rsidR="00312FC6" w:rsidRPr="004C4F6D" w:rsidRDefault="00312FC6" w:rsidP="004C4F6D">
      <w:pPr>
        <w:pStyle w:val="ListParagraph"/>
        <w:spacing w:after="0" w:line="240" w:lineRule="auto"/>
        <w:ind w:left="360" w:right="140"/>
        <w:jc w:val="both"/>
        <w:rPr>
          <w:rFonts w:ascii="Arial" w:eastAsia="Arial Narrow" w:hAnsi="Arial" w:cs="Arial"/>
          <w:b/>
          <w:i/>
          <w:iCs/>
          <w:color w:val="000000"/>
        </w:rPr>
      </w:pPr>
    </w:p>
    <w:p w14:paraId="5F9DE50F" w14:textId="1FE42C62" w:rsidR="00312FC6"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eastAsia="Arial Narrow" w:hAnsi="Arial" w:cs="Arial"/>
          <w:b/>
          <w:color w:val="000000"/>
        </w:rPr>
      </w:pPr>
      <w:r w:rsidRPr="004C4F6D">
        <w:rPr>
          <w:rFonts w:ascii="Arial" w:hAnsi="Arial" w:cs="Arial"/>
        </w:rPr>
        <w:t>As at December 31, 2022, the A</w:t>
      </w:r>
      <w:r w:rsidR="005B2E84" w:rsidRPr="004C4F6D">
        <w:rPr>
          <w:rFonts w:ascii="Arial" w:hAnsi="Arial" w:cs="Arial"/>
        </w:rPr>
        <w:t>P</w:t>
      </w:r>
      <w:r w:rsidRPr="004C4F6D">
        <w:rPr>
          <w:rFonts w:ascii="Arial" w:hAnsi="Arial" w:cs="Arial"/>
        </w:rPr>
        <w:t xml:space="preserve"> – Resident-Various-Non Deposit account of the Treasury Operations Department (TOD) has a balance of P33,384,388.75, of which records showed that P1,474,095.02 represents staled checks issued for the payment of coupons or interests and proceeds of matured investments of various clients covering calendar years 2007-2017, hence, </w:t>
      </w:r>
      <w:r w:rsidR="005B2E84" w:rsidRPr="004C4F6D">
        <w:rPr>
          <w:rFonts w:ascii="Arial" w:hAnsi="Arial" w:cs="Arial"/>
        </w:rPr>
        <w:t>the AP are</w:t>
      </w:r>
      <w:r w:rsidRPr="004C4F6D">
        <w:rPr>
          <w:rFonts w:ascii="Arial" w:hAnsi="Arial" w:cs="Arial"/>
        </w:rPr>
        <w:t xml:space="preserve"> outstanding for over two to 15 years.</w:t>
      </w:r>
    </w:p>
    <w:p w14:paraId="47696723" w14:textId="77777777" w:rsidR="00312FC6" w:rsidRPr="004C4F6D" w:rsidRDefault="00312FC6" w:rsidP="004C4F6D">
      <w:pPr>
        <w:pStyle w:val="ListParagraph"/>
        <w:spacing w:after="0" w:line="240" w:lineRule="auto"/>
        <w:ind w:left="360" w:right="133"/>
        <w:jc w:val="both"/>
        <w:rPr>
          <w:rFonts w:ascii="Arial" w:eastAsia="Arial Narrow" w:hAnsi="Arial" w:cs="Arial"/>
          <w:b/>
          <w:color w:val="000000"/>
        </w:rPr>
      </w:pPr>
    </w:p>
    <w:p w14:paraId="31A678C4" w14:textId="0D2F699D" w:rsidR="00312FC6"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hAnsi="Arial" w:cs="Arial"/>
        </w:rPr>
      </w:pPr>
      <w:r w:rsidRPr="004C4F6D">
        <w:rPr>
          <w:rFonts w:ascii="Arial" w:hAnsi="Arial" w:cs="Arial"/>
        </w:rPr>
        <w:t xml:space="preserve">The Division Chief of Accounting Unit – Domestic of the TOD informed that the first and final notices required in EO No. 047 series of 2021 were not sent to the claimants due to either the LBP deposit/settlement accounts of the claimants are closed and/or the claimant’s cannot be reached using the known contact numbers or addresses. The TOD was not able to get the updated contact numbers and addresses of the claimants </w:t>
      </w:r>
      <w:r w:rsidR="005B2E84" w:rsidRPr="004C4F6D">
        <w:rPr>
          <w:rFonts w:ascii="Arial" w:hAnsi="Arial" w:cs="Arial"/>
        </w:rPr>
        <w:t xml:space="preserve">even </w:t>
      </w:r>
      <w:r w:rsidRPr="004C4F6D">
        <w:rPr>
          <w:rFonts w:ascii="Arial" w:hAnsi="Arial" w:cs="Arial"/>
        </w:rPr>
        <w:t xml:space="preserve">from the LBP branches. Hence, the long outstanding APs cannot be reclassified to Miscellaneous Income account in spite of having been outstanding for more than two years. </w:t>
      </w:r>
    </w:p>
    <w:p w14:paraId="5A73C2E1" w14:textId="77777777" w:rsidR="00312FC6" w:rsidRPr="004C4F6D" w:rsidRDefault="00312FC6" w:rsidP="004C4F6D">
      <w:pPr>
        <w:spacing w:after="0" w:line="240" w:lineRule="auto"/>
        <w:ind w:right="133"/>
        <w:jc w:val="both"/>
        <w:rPr>
          <w:rFonts w:ascii="Arial" w:hAnsi="Arial" w:cs="Arial"/>
        </w:rPr>
      </w:pPr>
    </w:p>
    <w:p w14:paraId="26081D1D" w14:textId="6EF35AA3" w:rsidR="00312FC6" w:rsidRPr="004C4F6D" w:rsidRDefault="003919DE" w:rsidP="004C4F6D">
      <w:pPr>
        <w:pStyle w:val="ListParagraph"/>
        <w:numPr>
          <w:ilvl w:val="2"/>
          <w:numId w:val="43"/>
        </w:numPr>
        <w:autoSpaceDE w:val="0"/>
        <w:autoSpaceDN w:val="0"/>
        <w:adjustRightInd w:val="0"/>
        <w:spacing w:after="0" w:line="240" w:lineRule="auto"/>
        <w:ind w:left="1800" w:hanging="360"/>
        <w:jc w:val="both"/>
        <w:rPr>
          <w:rFonts w:ascii="Arial" w:eastAsia="Arial Narrow" w:hAnsi="Arial" w:cs="Arial"/>
          <w:b/>
          <w:color w:val="000000"/>
        </w:rPr>
      </w:pPr>
      <w:r w:rsidRPr="004C4F6D">
        <w:rPr>
          <w:rFonts w:ascii="Arial" w:eastAsia="Calibri" w:hAnsi="Arial" w:cs="Arial"/>
        </w:rPr>
        <w:t xml:space="preserve">It </w:t>
      </w:r>
      <w:r w:rsidR="005B2E84" w:rsidRPr="004C4F6D">
        <w:rPr>
          <w:rFonts w:ascii="Arial" w:eastAsia="Calibri" w:hAnsi="Arial" w:cs="Arial"/>
        </w:rPr>
        <w:t xml:space="preserve">was further </w:t>
      </w:r>
      <w:r w:rsidRPr="004C4F6D">
        <w:rPr>
          <w:rFonts w:ascii="Arial" w:eastAsia="Calibri" w:hAnsi="Arial" w:cs="Arial"/>
        </w:rPr>
        <w:t>noted that EO No. 047 series of 2021 had not considered the resolution of long outstanding APs when the sending of notices to clients is not feasible for the reason</w:t>
      </w:r>
      <w:r w:rsidRPr="004C4F6D">
        <w:rPr>
          <w:rFonts w:ascii="Arial" w:hAnsi="Arial" w:cs="Arial"/>
        </w:rPr>
        <w:t xml:space="preserve"> the claimants cannot be reached in their known contact numbers or addresses.</w:t>
      </w:r>
    </w:p>
    <w:p w14:paraId="2051A02D" w14:textId="77777777" w:rsidR="00312FC6" w:rsidRPr="004C4F6D" w:rsidRDefault="00312FC6" w:rsidP="004C4F6D">
      <w:pPr>
        <w:spacing w:after="0" w:line="240" w:lineRule="auto"/>
        <w:ind w:right="133"/>
        <w:jc w:val="both"/>
        <w:rPr>
          <w:rFonts w:ascii="Arial" w:eastAsia="Arial Narrow" w:hAnsi="Arial" w:cs="Arial"/>
          <w:b/>
          <w:color w:val="000000"/>
        </w:rPr>
      </w:pPr>
    </w:p>
    <w:p w14:paraId="767AB27D" w14:textId="724A5EE9" w:rsidR="00312FC6" w:rsidRPr="004C4F6D" w:rsidRDefault="003919DE" w:rsidP="004C4F6D">
      <w:pPr>
        <w:pStyle w:val="ListParagraph"/>
        <w:numPr>
          <w:ilvl w:val="1"/>
          <w:numId w:val="41"/>
        </w:numPr>
        <w:autoSpaceDE w:val="0"/>
        <w:autoSpaceDN w:val="0"/>
        <w:adjustRightInd w:val="0"/>
        <w:spacing w:after="0" w:line="240" w:lineRule="auto"/>
        <w:ind w:left="0" w:firstLine="0"/>
        <w:jc w:val="both"/>
        <w:rPr>
          <w:rFonts w:ascii="Arial" w:eastAsia="Arial Narrow" w:hAnsi="Arial" w:cs="Arial"/>
          <w:b/>
          <w:color w:val="000000"/>
        </w:rPr>
      </w:pPr>
      <w:r w:rsidRPr="004C4F6D">
        <w:rPr>
          <w:rFonts w:ascii="Arial" w:eastAsia="Arial Narrow" w:hAnsi="Arial" w:cs="Arial"/>
          <w:b/>
          <w:color w:val="000000"/>
        </w:rPr>
        <w:t>We recommended</w:t>
      </w:r>
      <w:r w:rsidR="00393578" w:rsidRPr="004C4F6D">
        <w:rPr>
          <w:rFonts w:ascii="Arial" w:eastAsia="Arial Narrow" w:hAnsi="Arial" w:cs="Arial"/>
          <w:b/>
          <w:color w:val="000000"/>
        </w:rPr>
        <w:t xml:space="preserve"> and Management agreed</w:t>
      </w:r>
      <w:r w:rsidR="00760329" w:rsidRPr="004C4F6D">
        <w:rPr>
          <w:rFonts w:ascii="Arial" w:eastAsia="Arial Narrow" w:hAnsi="Arial" w:cs="Arial"/>
          <w:b/>
          <w:color w:val="000000"/>
        </w:rPr>
        <w:t xml:space="preserve"> to</w:t>
      </w:r>
      <w:r w:rsidRPr="004C4F6D">
        <w:rPr>
          <w:rFonts w:ascii="Arial" w:eastAsia="Arial Narrow" w:hAnsi="Arial" w:cs="Arial"/>
          <w:b/>
          <w:color w:val="000000"/>
        </w:rPr>
        <w:t>:</w:t>
      </w:r>
    </w:p>
    <w:p w14:paraId="5C1E64F0" w14:textId="77777777" w:rsidR="00312FC6" w:rsidRPr="004C4F6D" w:rsidRDefault="00312FC6" w:rsidP="004C4F6D">
      <w:pPr>
        <w:pStyle w:val="ListParagraph"/>
        <w:spacing w:after="0" w:line="240" w:lineRule="auto"/>
        <w:ind w:left="0" w:right="133"/>
        <w:jc w:val="both"/>
        <w:rPr>
          <w:rFonts w:ascii="Arial" w:eastAsia="Arial Narrow" w:hAnsi="Arial" w:cs="Arial"/>
          <w:b/>
          <w:color w:val="000000"/>
        </w:rPr>
      </w:pPr>
    </w:p>
    <w:p w14:paraId="15132B06" w14:textId="089CD95F" w:rsidR="00312FC6" w:rsidRPr="004C4F6D" w:rsidRDefault="00CF3D60" w:rsidP="005D0550">
      <w:pPr>
        <w:pStyle w:val="ListParagraph"/>
        <w:numPr>
          <w:ilvl w:val="7"/>
          <w:numId w:val="27"/>
        </w:numPr>
        <w:spacing w:after="0" w:line="240" w:lineRule="auto"/>
        <w:ind w:left="709" w:right="194" w:hanging="11"/>
        <w:jc w:val="both"/>
        <w:rPr>
          <w:rFonts w:ascii="Arial" w:eastAsia="Arial Narrow" w:hAnsi="Arial" w:cs="Arial"/>
          <w:b/>
          <w:color w:val="000000"/>
        </w:rPr>
      </w:pPr>
      <w:r w:rsidRPr="004C4F6D">
        <w:rPr>
          <w:rFonts w:ascii="Arial" w:eastAsia="Arial Narrow" w:hAnsi="Arial" w:cs="Arial"/>
          <w:b/>
          <w:color w:val="000000"/>
        </w:rPr>
        <w:t>D</w:t>
      </w:r>
      <w:r w:rsidR="003919DE" w:rsidRPr="004C4F6D">
        <w:rPr>
          <w:rFonts w:ascii="Arial" w:eastAsia="Arial Narrow" w:hAnsi="Arial" w:cs="Arial"/>
          <w:b/>
          <w:color w:val="000000"/>
        </w:rPr>
        <w:t xml:space="preserve">evelop guidelines on handling LPC transactions, including </w:t>
      </w:r>
      <w:r w:rsidR="00781924" w:rsidRPr="004C4F6D">
        <w:rPr>
          <w:rFonts w:ascii="Arial" w:eastAsia="Arial Narrow" w:hAnsi="Arial" w:cs="Arial"/>
          <w:b/>
          <w:color w:val="000000"/>
        </w:rPr>
        <w:t>its</w:t>
      </w:r>
      <w:r w:rsidR="003919DE" w:rsidRPr="004C4F6D">
        <w:rPr>
          <w:rFonts w:ascii="Arial" w:eastAsia="Arial Narrow" w:hAnsi="Arial" w:cs="Arial"/>
          <w:b/>
          <w:color w:val="000000"/>
        </w:rPr>
        <w:t xml:space="preserve"> proforma accounting entries;</w:t>
      </w:r>
    </w:p>
    <w:p w14:paraId="1B6644DF" w14:textId="77777777" w:rsidR="00312FC6" w:rsidRPr="004C4F6D" w:rsidRDefault="00312FC6" w:rsidP="004C4F6D">
      <w:pPr>
        <w:pStyle w:val="ListParagraph"/>
        <w:spacing w:after="0" w:line="240" w:lineRule="auto"/>
        <w:ind w:right="194"/>
        <w:jc w:val="both"/>
        <w:rPr>
          <w:rFonts w:ascii="Arial" w:eastAsia="Arial Narrow" w:hAnsi="Arial" w:cs="Arial"/>
          <w:b/>
          <w:color w:val="000000"/>
        </w:rPr>
      </w:pPr>
    </w:p>
    <w:p w14:paraId="3D6CE1A0" w14:textId="77777777" w:rsidR="00312FC6" w:rsidRPr="004C4F6D" w:rsidRDefault="003919DE" w:rsidP="004C4F6D">
      <w:pPr>
        <w:pStyle w:val="ListParagraph"/>
        <w:numPr>
          <w:ilvl w:val="7"/>
          <w:numId w:val="27"/>
        </w:numPr>
        <w:spacing w:after="0" w:line="240" w:lineRule="auto"/>
        <w:ind w:left="720" w:right="194" w:firstLine="0"/>
        <w:jc w:val="both"/>
        <w:rPr>
          <w:rFonts w:ascii="Arial" w:eastAsia="Arial Narrow" w:hAnsi="Arial" w:cs="Arial"/>
          <w:b/>
          <w:color w:val="000000"/>
        </w:rPr>
      </w:pPr>
      <w:r w:rsidRPr="004C4F6D">
        <w:rPr>
          <w:rFonts w:ascii="Arial" w:eastAsia="Arial Narrow" w:hAnsi="Arial" w:cs="Arial"/>
          <w:b/>
          <w:color w:val="000000"/>
        </w:rPr>
        <w:t>Update</w:t>
      </w:r>
      <w:r w:rsidRPr="004C4F6D">
        <w:rPr>
          <w:rFonts w:ascii="Arial" w:hAnsi="Arial" w:cs="Arial"/>
          <w:b/>
        </w:rPr>
        <w:t xml:space="preserve"> the Bank’s Policy on the following responsibilities:</w:t>
      </w:r>
    </w:p>
    <w:p w14:paraId="15187CF6" w14:textId="77777777" w:rsidR="00312FC6" w:rsidRPr="004C4F6D" w:rsidRDefault="00312FC6" w:rsidP="004C4F6D">
      <w:pPr>
        <w:pStyle w:val="ListParagraph"/>
        <w:spacing w:after="0" w:line="240" w:lineRule="auto"/>
        <w:ind w:right="194"/>
        <w:jc w:val="both"/>
        <w:rPr>
          <w:rFonts w:ascii="Arial" w:eastAsia="Arial Narrow" w:hAnsi="Arial" w:cs="Arial"/>
          <w:b/>
          <w:color w:val="000000"/>
        </w:rPr>
      </w:pPr>
    </w:p>
    <w:p w14:paraId="677EA7EE" w14:textId="77777777" w:rsidR="00312FC6" w:rsidRPr="004C4F6D" w:rsidRDefault="003919DE" w:rsidP="004C4F6D">
      <w:pPr>
        <w:pStyle w:val="ListParagraph"/>
        <w:spacing w:after="0" w:line="240" w:lineRule="auto"/>
        <w:ind w:left="1440" w:right="194"/>
        <w:jc w:val="both"/>
        <w:rPr>
          <w:rFonts w:ascii="Arial" w:hAnsi="Arial" w:cs="Arial"/>
          <w:b/>
        </w:rPr>
      </w:pPr>
      <w:r w:rsidRPr="004C4F6D">
        <w:rPr>
          <w:rFonts w:ascii="Arial" w:eastAsia="Arial Narrow" w:hAnsi="Arial" w:cs="Arial"/>
          <w:b/>
          <w:color w:val="000000"/>
        </w:rPr>
        <w:t>b.1 Submission</w:t>
      </w:r>
      <w:r w:rsidRPr="004C4F6D">
        <w:rPr>
          <w:rFonts w:ascii="Arial" w:hAnsi="Arial" w:cs="Arial"/>
          <w:b/>
        </w:rPr>
        <w:t xml:space="preserve"> of Property Transfer Slips (PTSs) and Invoice Receipt for Property, for the issuances of Semi-expendable items by SMD, NOD, BBSD-PCMD and SID to AAD on a regular basis;</w:t>
      </w:r>
    </w:p>
    <w:p w14:paraId="00FD4901" w14:textId="77777777" w:rsidR="00312FC6" w:rsidRPr="004C4F6D" w:rsidRDefault="00312FC6" w:rsidP="004C4F6D">
      <w:pPr>
        <w:pStyle w:val="ListParagraph"/>
        <w:spacing w:after="0" w:line="240" w:lineRule="auto"/>
        <w:ind w:left="1440" w:right="194"/>
        <w:jc w:val="both"/>
        <w:rPr>
          <w:rFonts w:ascii="Arial" w:hAnsi="Arial" w:cs="Arial"/>
          <w:b/>
        </w:rPr>
      </w:pPr>
    </w:p>
    <w:p w14:paraId="0FE6624A" w14:textId="77777777" w:rsidR="00312FC6" w:rsidRPr="004C4F6D" w:rsidRDefault="003919DE" w:rsidP="004C4F6D">
      <w:pPr>
        <w:pStyle w:val="ListParagraph"/>
        <w:spacing w:after="0" w:line="240" w:lineRule="auto"/>
        <w:ind w:left="1440" w:right="194"/>
        <w:jc w:val="both"/>
        <w:rPr>
          <w:rFonts w:ascii="Arial" w:hAnsi="Arial" w:cs="Arial"/>
          <w:b/>
        </w:rPr>
      </w:pPr>
      <w:r w:rsidRPr="004C4F6D">
        <w:rPr>
          <w:rFonts w:ascii="Arial" w:hAnsi="Arial" w:cs="Arial"/>
          <w:b/>
        </w:rPr>
        <w:t xml:space="preserve">b.2 Preparation and submission by NOD, BBSD-PCMD and SID, of physical stock level report to AAD; and </w:t>
      </w:r>
    </w:p>
    <w:p w14:paraId="145569D5" w14:textId="77777777" w:rsidR="00312FC6" w:rsidRPr="004C4F6D" w:rsidRDefault="00312FC6" w:rsidP="004C4F6D">
      <w:pPr>
        <w:pStyle w:val="ListParagraph"/>
        <w:spacing w:after="0" w:line="240" w:lineRule="auto"/>
        <w:ind w:left="1440" w:right="194"/>
        <w:jc w:val="both"/>
        <w:rPr>
          <w:rFonts w:ascii="Arial" w:hAnsi="Arial" w:cs="Arial"/>
          <w:b/>
        </w:rPr>
      </w:pPr>
    </w:p>
    <w:p w14:paraId="2BC9D128" w14:textId="77777777" w:rsidR="00312FC6" w:rsidRPr="004C4F6D" w:rsidRDefault="003919DE" w:rsidP="004C4F6D">
      <w:pPr>
        <w:pStyle w:val="ListParagraph"/>
        <w:spacing w:after="0" w:line="240" w:lineRule="auto"/>
        <w:ind w:left="1440" w:right="194"/>
        <w:jc w:val="both"/>
        <w:rPr>
          <w:rFonts w:ascii="Arial" w:hAnsi="Arial" w:cs="Arial"/>
          <w:b/>
        </w:rPr>
      </w:pPr>
      <w:r w:rsidRPr="004C4F6D">
        <w:rPr>
          <w:rFonts w:ascii="Arial" w:hAnsi="Arial" w:cs="Arial"/>
          <w:b/>
        </w:rPr>
        <w:t>b.3 Preparation of monthly Reconciliation Report of Stationery and Office Supplies on Hand by AAD.</w:t>
      </w:r>
    </w:p>
    <w:p w14:paraId="7869B346" w14:textId="77777777" w:rsidR="00312FC6" w:rsidRPr="004C4F6D" w:rsidRDefault="00312FC6" w:rsidP="004C4F6D">
      <w:pPr>
        <w:pStyle w:val="ListParagraph"/>
        <w:spacing w:after="0" w:line="240" w:lineRule="auto"/>
        <w:ind w:left="1440" w:right="194"/>
        <w:jc w:val="both"/>
        <w:rPr>
          <w:rFonts w:ascii="Arial" w:hAnsi="Arial" w:cs="Arial"/>
          <w:b/>
        </w:rPr>
      </w:pPr>
    </w:p>
    <w:p w14:paraId="0A0F6E6B" w14:textId="77777777" w:rsidR="00312FC6" w:rsidRPr="004C4F6D" w:rsidRDefault="003919DE" w:rsidP="005D0550">
      <w:pPr>
        <w:pStyle w:val="ListParagraph"/>
        <w:numPr>
          <w:ilvl w:val="7"/>
          <w:numId w:val="27"/>
        </w:numPr>
        <w:spacing w:after="0" w:line="240" w:lineRule="auto"/>
        <w:ind w:left="709" w:right="194" w:hanging="11"/>
        <w:jc w:val="both"/>
        <w:rPr>
          <w:rFonts w:ascii="Arial" w:hAnsi="Arial" w:cs="Arial"/>
          <w:b/>
        </w:rPr>
      </w:pPr>
      <w:r w:rsidRPr="004C4F6D">
        <w:rPr>
          <w:rFonts w:ascii="Arial" w:eastAsia="Calibri" w:hAnsi="Arial" w:cs="Arial"/>
          <w:b/>
        </w:rPr>
        <w:lastRenderedPageBreak/>
        <w:t>Consider inclusion in the policy guidelines the resolution of long outstanding payables when sending notices to the claimants are ineffective.</w:t>
      </w:r>
    </w:p>
    <w:p w14:paraId="0D0BC2FC" w14:textId="77777777" w:rsidR="00312FC6" w:rsidRPr="004C4F6D" w:rsidRDefault="00312FC6" w:rsidP="004C4F6D">
      <w:pPr>
        <w:spacing w:after="0" w:line="240" w:lineRule="auto"/>
        <w:ind w:right="194"/>
        <w:jc w:val="both"/>
        <w:rPr>
          <w:rFonts w:ascii="Arial" w:eastAsia="Arial Narrow" w:hAnsi="Arial" w:cs="Arial"/>
          <w:b/>
          <w:color w:val="000000"/>
        </w:rPr>
      </w:pPr>
    </w:p>
    <w:p w14:paraId="26F9C779" w14:textId="458FE37D" w:rsidR="00312FC6" w:rsidRPr="004C4F6D" w:rsidRDefault="00781924" w:rsidP="004C4F6D">
      <w:pPr>
        <w:pStyle w:val="ListParagraph"/>
        <w:numPr>
          <w:ilvl w:val="1"/>
          <w:numId w:val="41"/>
        </w:numPr>
        <w:autoSpaceDE w:val="0"/>
        <w:autoSpaceDN w:val="0"/>
        <w:adjustRightInd w:val="0"/>
        <w:spacing w:after="0" w:line="240" w:lineRule="auto"/>
        <w:ind w:left="0" w:firstLine="0"/>
        <w:jc w:val="both"/>
        <w:rPr>
          <w:rFonts w:ascii="Arial" w:hAnsi="Arial" w:cs="Arial"/>
        </w:rPr>
      </w:pPr>
      <w:r w:rsidRPr="004C4F6D">
        <w:rPr>
          <w:rFonts w:ascii="Arial" w:eastAsia="Arial Narrow" w:hAnsi="Arial" w:cs="Arial"/>
        </w:rPr>
        <w:t xml:space="preserve">Management </w:t>
      </w:r>
      <w:r w:rsidR="00760329" w:rsidRPr="004C4F6D">
        <w:rPr>
          <w:rFonts w:ascii="Arial" w:eastAsia="Arial Narrow" w:hAnsi="Arial" w:cs="Arial"/>
        </w:rPr>
        <w:t xml:space="preserve">agreed with the recommendations and </w:t>
      </w:r>
      <w:r w:rsidRPr="004C4F6D">
        <w:rPr>
          <w:rFonts w:ascii="Arial" w:eastAsia="Arial Narrow" w:hAnsi="Arial" w:cs="Arial"/>
        </w:rPr>
        <w:t xml:space="preserve">informed that </w:t>
      </w:r>
      <w:r w:rsidR="00760329" w:rsidRPr="004C4F6D">
        <w:rPr>
          <w:rFonts w:ascii="Arial" w:eastAsia="Arial Narrow" w:hAnsi="Arial" w:cs="Arial"/>
        </w:rPr>
        <w:t>preliminary actions towards the implementation of the recommendations are already being undertaken in the 2</w:t>
      </w:r>
      <w:r w:rsidR="00760329" w:rsidRPr="004C4F6D">
        <w:rPr>
          <w:rFonts w:ascii="Arial" w:eastAsia="Arial Narrow" w:hAnsi="Arial" w:cs="Arial"/>
          <w:vertAlign w:val="superscript"/>
        </w:rPr>
        <w:t>nd</w:t>
      </w:r>
      <w:r w:rsidR="00760329" w:rsidRPr="004C4F6D">
        <w:rPr>
          <w:rFonts w:ascii="Arial" w:eastAsia="Arial Narrow" w:hAnsi="Arial" w:cs="Arial"/>
        </w:rPr>
        <w:t xml:space="preserve"> quarter of the succeeding year.</w:t>
      </w:r>
    </w:p>
    <w:p w14:paraId="3C170043" w14:textId="43393B9D" w:rsidR="004C4F6D" w:rsidRDefault="004C4F6D" w:rsidP="004C4F6D">
      <w:pPr>
        <w:autoSpaceDE w:val="0"/>
        <w:autoSpaceDN w:val="0"/>
        <w:adjustRightInd w:val="0"/>
        <w:spacing w:after="0" w:line="240" w:lineRule="auto"/>
        <w:jc w:val="both"/>
        <w:rPr>
          <w:rFonts w:ascii="Arial" w:hAnsi="Arial" w:cs="Arial"/>
        </w:rPr>
      </w:pPr>
    </w:p>
    <w:p w14:paraId="05B0C670" w14:textId="77777777" w:rsidR="002B59B7" w:rsidRPr="004C4F6D" w:rsidRDefault="002B59B7" w:rsidP="004C4F6D">
      <w:pPr>
        <w:autoSpaceDE w:val="0"/>
        <w:autoSpaceDN w:val="0"/>
        <w:adjustRightInd w:val="0"/>
        <w:spacing w:after="0" w:line="240" w:lineRule="auto"/>
        <w:jc w:val="both"/>
        <w:rPr>
          <w:rFonts w:ascii="Arial" w:hAnsi="Arial" w:cs="Arial"/>
        </w:rPr>
      </w:pPr>
    </w:p>
    <w:p w14:paraId="3C184ABA" w14:textId="31437E1B" w:rsidR="00312FC6" w:rsidRPr="004C4F6D" w:rsidRDefault="00760329" w:rsidP="004C4F6D">
      <w:pPr>
        <w:numPr>
          <w:ilvl w:val="0"/>
          <w:numId w:val="35"/>
        </w:numPr>
        <w:spacing w:after="0" w:line="240" w:lineRule="auto"/>
        <w:ind w:left="0" w:firstLine="0"/>
        <w:jc w:val="both"/>
        <w:rPr>
          <w:rFonts w:ascii="Arial" w:eastAsia="Arial Narrow" w:hAnsi="Arial" w:cs="Arial"/>
        </w:rPr>
      </w:pPr>
      <w:r w:rsidRPr="004C4F6D">
        <w:rPr>
          <w:rFonts w:ascii="Arial" w:eastAsia="Arial Narrow" w:hAnsi="Arial" w:cs="Arial"/>
          <w:b/>
          <w:color w:val="000000"/>
        </w:rPr>
        <w:t>S</w:t>
      </w:r>
      <w:r w:rsidR="003919DE" w:rsidRPr="004C4F6D">
        <w:rPr>
          <w:rFonts w:ascii="Arial" w:eastAsia="Arial Narrow" w:hAnsi="Arial" w:cs="Arial"/>
          <w:b/>
          <w:color w:val="000000"/>
        </w:rPr>
        <w:t>ervice fees for the distribution of cash grants to eligible farmer beneficiaries, under the FSRF and RFFA programs</w:t>
      </w:r>
      <w:r w:rsidRPr="004C4F6D">
        <w:rPr>
          <w:rFonts w:ascii="Arial" w:eastAsia="Arial Narrow" w:hAnsi="Arial" w:cs="Arial"/>
          <w:b/>
          <w:color w:val="000000"/>
        </w:rPr>
        <w:t xml:space="preserve"> totaling P5,263,860.00 remain</w:t>
      </w:r>
      <w:r w:rsidRPr="004C4F6D">
        <w:rPr>
          <w:rFonts w:ascii="Arial" w:eastAsia="Arial Narrow" w:hAnsi="Arial" w:cs="Arial"/>
          <w:b/>
        </w:rPr>
        <w:t xml:space="preserve"> uncollected from three (3) days to more than two (2) years as at December 31, 2022 due to </w:t>
      </w:r>
      <w:r w:rsidRPr="004C4F6D">
        <w:rPr>
          <w:rFonts w:ascii="Arial" w:eastAsia="Arial Narrow" w:hAnsi="Arial" w:cs="Arial"/>
          <w:b/>
          <w:color w:val="000000"/>
        </w:rPr>
        <w:t>delayed submission of supporting liquidation documents and billing statements by LBP Servicing Branches</w:t>
      </w:r>
      <w:r w:rsidR="003919DE" w:rsidRPr="004C4F6D">
        <w:rPr>
          <w:rFonts w:ascii="Arial" w:eastAsia="Arial Narrow" w:hAnsi="Arial" w:cs="Arial"/>
          <w:b/>
          <w:color w:val="000000"/>
        </w:rPr>
        <w:t>, contrary to submission timelines set by the Bank</w:t>
      </w:r>
      <w:r w:rsidRPr="004C4F6D">
        <w:rPr>
          <w:rFonts w:ascii="Arial" w:eastAsia="Arial Narrow" w:hAnsi="Arial" w:cs="Arial"/>
          <w:b/>
          <w:color w:val="000000"/>
        </w:rPr>
        <w:t>.</w:t>
      </w:r>
      <w:r w:rsidR="003919DE" w:rsidRPr="004C4F6D">
        <w:rPr>
          <w:rFonts w:ascii="Arial" w:eastAsia="Arial Narrow" w:hAnsi="Arial" w:cs="Arial"/>
          <w:b/>
          <w:color w:val="000000"/>
        </w:rPr>
        <w:t xml:space="preserve"> </w:t>
      </w:r>
    </w:p>
    <w:p w14:paraId="0AF79917"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0F81502F" w14:textId="7DAEF61F" w:rsidR="006460E1" w:rsidRPr="006460E1" w:rsidRDefault="006460E1" w:rsidP="004C4F6D">
      <w:pPr>
        <w:pStyle w:val="ListParagraph"/>
        <w:numPr>
          <w:ilvl w:val="1"/>
          <w:numId w:val="42"/>
        </w:numPr>
        <w:spacing w:after="0" w:line="240" w:lineRule="auto"/>
        <w:ind w:left="0" w:firstLine="0"/>
        <w:jc w:val="both"/>
        <w:rPr>
          <w:rFonts w:ascii="Arial" w:eastAsia="Arial Narrow" w:hAnsi="Arial" w:cs="Arial"/>
        </w:rPr>
      </w:pPr>
      <w:r>
        <w:rPr>
          <w:rFonts w:ascii="Arial" w:hAnsi="Arial" w:cs="Arial"/>
        </w:rPr>
        <w:t>Financial Subsidy to Rice Farmers (FSRF) and Rice Farmer Financial Assistance (RFFA) are programs of the National Government through the Department of Agriculture (DA). The FSRF and RFFA Programs are part of the government’s assistance to rice farmers mostly affected by the implementation of Republic Act No. 11203 otherwise known as the Rice Tariffication Law which removes the quantitative restrictions on rice imports, and replaced them with a 35 percent import tariff. The sudden impact of the influx of imported rice resulted in huge income losses on rice farmers, thus, to mitigate the projected reduction or loss of farm income due to the drop in palay farm gate prices, the government set up both FSRF and RFFA programs which provides a one-time cash grant to qualified farmer-beneficiaries amounting to Five Thousand Pesos (P5,000.00).</w:t>
      </w:r>
    </w:p>
    <w:p w14:paraId="3C24FB86" w14:textId="77777777" w:rsidR="006460E1" w:rsidRDefault="006460E1" w:rsidP="006460E1">
      <w:pPr>
        <w:pStyle w:val="ListParagraph"/>
        <w:spacing w:after="0" w:line="240" w:lineRule="auto"/>
        <w:ind w:left="0"/>
        <w:jc w:val="both"/>
        <w:rPr>
          <w:rFonts w:ascii="Arial" w:eastAsia="Arial Narrow" w:hAnsi="Arial" w:cs="Arial"/>
        </w:rPr>
      </w:pPr>
    </w:p>
    <w:p w14:paraId="57B8C0D3" w14:textId="68C959A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The RFFA Program </w:t>
      </w:r>
      <w:r w:rsidR="00460FDB" w:rsidRPr="004C4F6D">
        <w:rPr>
          <w:rFonts w:ascii="Arial" w:eastAsia="Arial Narrow" w:hAnsi="Arial" w:cs="Arial"/>
        </w:rPr>
        <w:t>was</w:t>
      </w:r>
      <w:r w:rsidRPr="004C4F6D">
        <w:rPr>
          <w:rFonts w:ascii="Arial" w:eastAsia="Arial Narrow" w:hAnsi="Arial" w:cs="Arial"/>
        </w:rPr>
        <w:t xml:space="preserve"> implemented within the two (2) year transition period (2019-2020) and the FSRF Program </w:t>
      </w:r>
      <w:r w:rsidR="00460FDB" w:rsidRPr="004C4F6D">
        <w:rPr>
          <w:rFonts w:ascii="Arial" w:eastAsia="Arial Narrow" w:hAnsi="Arial" w:cs="Arial"/>
        </w:rPr>
        <w:t>was</w:t>
      </w:r>
      <w:r w:rsidRPr="004C4F6D">
        <w:rPr>
          <w:rFonts w:ascii="Arial" w:eastAsia="Arial Narrow" w:hAnsi="Arial" w:cs="Arial"/>
        </w:rPr>
        <w:t xml:space="preserve"> implemented within the year 2020. Based on the letter dated February 17, 2021</w:t>
      </w:r>
      <w:r w:rsidR="00DB27CA" w:rsidRPr="004C4F6D">
        <w:rPr>
          <w:rFonts w:ascii="Arial" w:eastAsia="Arial Narrow" w:hAnsi="Arial" w:cs="Arial"/>
        </w:rPr>
        <w:t xml:space="preserve"> sent by the DA to LBP</w:t>
      </w:r>
      <w:r w:rsidRPr="004C4F6D">
        <w:rPr>
          <w:rFonts w:ascii="Arial" w:eastAsia="Arial Narrow" w:hAnsi="Arial" w:cs="Arial"/>
        </w:rPr>
        <w:t xml:space="preserve">, DA requested </w:t>
      </w:r>
      <w:r w:rsidR="00DB27CA" w:rsidRPr="004C4F6D">
        <w:rPr>
          <w:rFonts w:ascii="Arial" w:eastAsia="Arial Narrow" w:hAnsi="Arial" w:cs="Arial"/>
        </w:rPr>
        <w:t>and LBP accommodated the</w:t>
      </w:r>
      <w:r w:rsidRPr="004C4F6D">
        <w:rPr>
          <w:rFonts w:ascii="Arial" w:eastAsia="Arial Narrow" w:hAnsi="Arial" w:cs="Arial"/>
        </w:rPr>
        <w:t xml:space="preserve"> exten</w:t>
      </w:r>
      <w:r w:rsidR="00DB27CA" w:rsidRPr="004C4F6D">
        <w:rPr>
          <w:rFonts w:ascii="Arial" w:eastAsia="Arial Narrow" w:hAnsi="Arial" w:cs="Arial"/>
        </w:rPr>
        <w:t>sion of</w:t>
      </w:r>
      <w:r w:rsidRPr="004C4F6D">
        <w:rPr>
          <w:rFonts w:ascii="Arial" w:eastAsia="Arial Narrow" w:hAnsi="Arial" w:cs="Arial"/>
        </w:rPr>
        <w:t xml:space="preserve"> the distribution of the cash assistance for both FSRF and RFFA Programs until February 25, 2021.</w:t>
      </w:r>
    </w:p>
    <w:p w14:paraId="65CA44B4"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1BBA965E" w14:textId="21DB92BE"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The Implementing Guidelines for both the FSRF and RFFA Program</w:t>
      </w:r>
      <w:r w:rsidR="004B156A" w:rsidRPr="004C4F6D">
        <w:rPr>
          <w:rFonts w:ascii="Arial" w:eastAsia="Arial Narrow" w:hAnsi="Arial" w:cs="Arial"/>
        </w:rPr>
        <w:t>s</w:t>
      </w:r>
      <w:r w:rsidRPr="004C4F6D">
        <w:rPr>
          <w:rFonts w:ascii="Arial" w:eastAsia="Arial Narrow" w:hAnsi="Arial" w:cs="Arial"/>
        </w:rPr>
        <w:t xml:space="preserve"> state</w:t>
      </w:r>
      <w:r w:rsidR="004B156A" w:rsidRPr="004C4F6D">
        <w:rPr>
          <w:rFonts w:ascii="Arial" w:eastAsia="Arial Narrow" w:hAnsi="Arial" w:cs="Arial"/>
        </w:rPr>
        <w:t>d</w:t>
      </w:r>
      <w:r w:rsidRPr="004C4F6D">
        <w:rPr>
          <w:rFonts w:ascii="Arial" w:eastAsia="Arial Narrow" w:hAnsi="Arial" w:cs="Arial"/>
        </w:rPr>
        <w:t xml:space="preserve"> that the DA shall open and maintain a “DA – FSRF/RFFA Fund and DA – FSRF/RFFA Service Fee Accounts” at LBP Elliptical Road Branch.</w:t>
      </w:r>
    </w:p>
    <w:p w14:paraId="602759FB"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60B3D71C" w14:textId="7F993F1D"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The Memoranda of Agreement (MOA) executed and entered into by and between the DA and LBP for the FSRF and RFFA Programs authorize</w:t>
      </w:r>
      <w:r w:rsidR="004B156A" w:rsidRPr="004C4F6D">
        <w:rPr>
          <w:rFonts w:ascii="Arial" w:eastAsia="Arial Narrow" w:hAnsi="Arial" w:cs="Arial"/>
        </w:rPr>
        <w:t>d</w:t>
      </w:r>
      <w:r w:rsidRPr="004C4F6D">
        <w:rPr>
          <w:rFonts w:ascii="Arial" w:eastAsia="Arial Narrow" w:hAnsi="Arial" w:cs="Arial"/>
        </w:rPr>
        <w:t xml:space="preserve"> LBP </w:t>
      </w:r>
      <w:r w:rsidRPr="004C4F6D">
        <w:rPr>
          <w:rFonts w:ascii="Arial" w:eastAsia="Arial Narrow" w:hAnsi="Arial" w:cs="Arial"/>
          <w:i/>
        </w:rPr>
        <w:t xml:space="preserve">to collect and debit service fees from the FSRF and RFFA Service Fee Accounts </w:t>
      </w:r>
      <w:r w:rsidRPr="004C4F6D">
        <w:rPr>
          <w:rFonts w:ascii="Arial" w:eastAsia="Arial Narrow" w:hAnsi="Arial" w:cs="Arial"/>
        </w:rPr>
        <w:t>upon generation of FSRF and RFFA Cash Cards and every successful payout transactions.</w:t>
      </w:r>
    </w:p>
    <w:p w14:paraId="6E5040B5"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17CF6368" w14:textId="7777777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The MOA for the FSRF Program and the Implementing Guidelines for the RFFA Program provided that the payment and distribution of cash grants to farmer beneficiaries shall be made either through LBP Cash/Prepaid Cards, Over-the-Counter (OTC) or other electronic modes.</w:t>
      </w:r>
    </w:p>
    <w:p w14:paraId="0A2545CE"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52F3AC14" w14:textId="69DE7685"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However, the pandemic in 2020</w:t>
      </w:r>
      <w:r w:rsidR="004B156A" w:rsidRPr="004C4F6D">
        <w:rPr>
          <w:rFonts w:ascii="Arial" w:eastAsia="Arial Narrow" w:hAnsi="Arial" w:cs="Arial"/>
        </w:rPr>
        <w:t xml:space="preserve"> caused the delay in</w:t>
      </w:r>
      <w:r w:rsidRPr="004C4F6D">
        <w:rPr>
          <w:rFonts w:ascii="Arial" w:eastAsia="Arial Narrow" w:hAnsi="Arial" w:cs="Arial"/>
        </w:rPr>
        <w:t xml:space="preserve"> the production of cash cards</w:t>
      </w:r>
      <w:r w:rsidR="004B156A" w:rsidRPr="004C4F6D">
        <w:rPr>
          <w:rFonts w:ascii="Arial" w:eastAsia="Arial Narrow" w:hAnsi="Arial" w:cs="Arial"/>
        </w:rPr>
        <w:t xml:space="preserve"> and </w:t>
      </w:r>
      <w:r w:rsidRPr="004C4F6D">
        <w:rPr>
          <w:rFonts w:ascii="Arial" w:eastAsia="Arial Narrow" w:hAnsi="Arial" w:cs="Arial"/>
        </w:rPr>
        <w:t xml:space="preserve">the distribution of cash grants so both programs utilized OTC payout as the mode of distribution of cash grants to farmer beneficiaries as instructed by the DA. The service fee for the cost of OTC payout is P30.00 per beneficiary as agreed upon by the Parties. </w:t>
      </w:r>
    </w:p>
    <w:p w14:paraId="25903BE5" w14:textId="7777777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lastRenderedPageBreak/>
        <w:t xml:space="preserve">LBP issued Memorandum dated June 16, 2020 which requires the LBP Servicing Branches to submit billing statements and Certifications of Accounting for OTC distribution of cash grants to the rice farmers for both FSRF and RFFA Programs, </w:t>
      </w:r>
      <w:r w:rsidRPr="004C4F6D">
        <w:rPr>
          <w:rFonts w:ascii="Arial" w:eastAsia="Arial Narrow" w:hAnsi="Arial" w:cs="Arial"/>
          <w:b/>
          <w:i/>
          <w:u w:val="single"/>
        </w:rPr>
        <w:t>within ten (10) working days after the last day of payout month</w:t>
      </w:r>
      <w:r w:rsidRPr="004C4F6D">
        <w:rPr>
          <w:rFonts w:ascii="Arial" w:eastAsia="Arial Narrow" w:hAnsi="Arial" w:cs="Arial"/>
        </w:rPr>
        <w:t xml:space="preserve"> to facilitate payment of service fee</w:t>
      </w:r>
      <w:r w:rsidRPr="004C4F6D">
        <w:rPr>
          <w:rFonts w:ascii="Arial" w:eastAsia="Arial Narrow" w:hAnsi="Arial" w:cs="Arial"/>
          <w:lang w:val="en-US"/>
        </w:rPr>
        <w:t>.</w:t>
      </w:r>
    </w:p>
    <w:p w14:paraId="295693E3"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7974412E" w14:textId="7777777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The LBP Government Program Support Department (GPSD) handles the monitoring for the efficient distribution of cash grants to eligible farmer beneficiaries in coordination with the DA.</w:t>
      </w:r>
    </w:p>
    <w:p w14:paraId="7BF57A1E"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135ACD35" w14:textId="55FE5608"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Review of the monitoring report provided by GPSD on the billed amount of service fees for OTC payments of FSRF and RFFA cash grants by various LBP Servicing Branches disclosed a total of P5</w:t>
      </w:r>
      <w:r w:rsidR="004B156A" w:rsidRPr="004C4F6D">
        <w:rPr>
          <w:rFonts w:ascii="Arial" w:eastAsia="Arial Narrow" w:hAnsi="Arial" w:cs="Arial"/>
        </w:rPr>
        <w:t>.</w:t>
      </w:r>
      <w:r w:rsidRPr="004C4F6D">
        <w:rPr>
          <w:rFonts w:ascii="Arial" w:eastAsia="Arial Narrow" w:hAnsi="Arial" w:cs="Arial"/>
        </w:rPr>
        <w:t>26</w:t>
      </w:r>
      <w:r w:rsidR="004B156A" w:rsidRPr="004C4F6D">
        <w:rPr>
          <w:rFonts w:ascii="Arial" w:eastAsia="Arial Narrow" w:hAnsi="Arial" w:cs="Arial"/>
        </w:rPr>
        <w:t>4 million</w:t>
      </w:r>
      <w:r w:rsidRPr="004C4F6D">
        <w:rPr>
          <w:rFonts w:ascii="Arial" w:eastAsia="Arial Narrow" w:hAnsi="Arial" w:cs="Arial"/>
        </w:rPr>
        <w:t xml:space="preserve"> which remained uncollected from three (3) days to more than two (2) years as at December 31, 2022</w:t>
      </w:r>
      <w:r w:rsidR="004B156A" w:rsidRPr="004C4F6D">
        <w:rPr>
          <w:rFonts w:ascii="Arial" w:eastAsia="Arial Narrow" w:hAnsi="Arial" w:cs="Arial"/>
        </w:rPr>
        <w:t xml:space="preserve"> and lodged under Accounts Receivable-Government Entity (AR-GE) account. The details as follows:</w:t>
      </w:r>
    </w:p>
    <w:p w14:paraId="1D7F2AEB" w14:textId="14EAC2F9" w:rsidR="00312FC6" w:rsidRPr="004C4F6D" w:rsidRDefault="00312FC6" w:rsidP="004C4F6D">
      <w:pPr>
        <w:pStyle w:val="ListParagraph"/>
        <w:spacing w:after="0" w:line="240" w:lineRule="auto"/>
        <w:ind w:left="0"/>
        <w:jc w:val="both"/>
        <w:rPr>
          <w:rFonts w:ascii="Arial" w:eastAsia="Arial Narrow" w:hAnsi="Arial" w:cs="Arial"/>
        </w:rPr>
      </w:pPr>
    </w:p>
    <w:tbl>
      <w:tblPr>
        <w:tblW w:w="8652" w:type="dxa"/>
        <w:tblInd w:w="103" w:type="dxa"/>
        <w:tblLayout w:type="fixed"/>
        <w:tblLook w:val="04A0" w:firstRow="1" w:lastRow="0" w:firstColumn="1" w:lastColumn="0" w:noHBand="0" w:noVBand="1"/>
      </w:tblPr>
      <w:tblGrid>
        <w:gridCol w:w="1281"/>
        <w:gridCol w:w="1701"/>
        <w:gridCol w:w="142"/>
        <w:gridCol w:w="1701"/>
        <w:gridCol w:w="1772"/>
        <w:gridCol w:w="1767"/>
        <w:gridCol w:w="288"/>
      </w:tblGrid>
      <w:tr w:rsidR="00312FC6" w:rsidRPr="004C4F6D" w14:paraId="69CFFAB1" w14:textId="77777777">
        <w:trPr>
          <w:trHeight w:val="548"/>
        </w:trPr>
        <w:tc>
          <w:tcPr>
            <w:tcW w:w="1281" w:type="dxa"/>
            <w:tcBorders>
              <w:top w:val="single" w:sz="4" w:space="0" w:color="auto"/>
              <w:bottom w:val="single" w:sz="4" w:space="0" w:color="auto"/>
            </w:tcBorders>
            <w:vAlign w:val="center"/>
          </w:tcPr>
          <w:p w14:paraId="329E49D8" w14:textId="77777777" w:rsidR="00312FC6" w:rsidRPr="004C4F6D" w:rsidRDefault="003919DE" w:rsidP="004C4F6D">
            <w:pPr>
              <w:spacing w:after="0" w:line="240" w:lineRule="auto"/>
              <w:jc w:val="center"/>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DA PROGRAM</w:t>
            </w:r>
          </w:p>
        </w:tc>
        <w:tc>
          <w:tcPr>
            <w:tcW w:w="1843" w:type="dxa"/>
            <w:gridSpan w:val="2"/>
            <w:tcBorders>
              <w:top w:val="single" w:sz="4" w:space="0" w:color="auto"/>
              <w:bottom w:val="single" w:sz="4" w:space="0" w:color="auto"/>
            </w:tcBorders>
            <w:vAlign w:val="center"/>
          </w:tcPr>
          <w:p w14:paraId="7D83C074" w14:textId="77777777" w:rsidR="00312FC6" w:rsidRPr="004C4F6D" w:rsidRDefault="003919DE" w:rsidP="004C4F6D">
            <w:pPr>
              <w:tabs>
                <w:tab w:val="left" w:pos="855"/>
                <w:tab w:val="left" w:pos="1032"/>
              </w:tabs>
              <w:spacing w:after="0" w:line="240" w:lineRule="auto"/>
              <w:ind w:right="133"/>
              <w:jc w:val="center"/>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NO. OF PAID RICE-FARMER BENEFICIARIES</w:t>
            </w:r>
          </w:p>
        </w:tc>
        <w:tc>
          <w:tcPr>
            <w:tcW w:w="1701" w:type="dxa"/>
            <w:tcBorders>
              <w:top w:val="single" w:sz="4" w:space="0" w:color="auto"/>
              <w:bottom w:val="single" w:sz="4" w:space="0" w:color="auto"/>
            </w:tcBorders>
            <w:vAlign w:val="center"/>
          </w:tcPr>
          <w:p w14:paraId="427B0BF1" w14:textId="77777777" w:rsidR="00312FC6" w:rsidRPr="004C4F6D" w:rsidRDefault="003919DE" w:rsidP="004C4F6D">
            <w:pPr>
              <w:spacing w:after="0" w:line="240" w:lineRule="auto"/>
              <w:ind w:right="133"/>
              <w:jc w:val="center"/>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TOTAL AMOUNT  BILLED AS SERVICE FEE*</w:t>
            </w:r>
          </w:p>
        </w:tc>
        <w:tc>
          <w:tcPr>
            <w:tcW w:w="1772" w:type="dxa"/>
            <w:tcBorders>
              <w:top w:val="single" w:sz="4" w:space="0" w:color="auto"/>
              <w:bottom w:val="single" w:sz="4" w:space="0" w:color="auto"/>
            </w:tcBorders>
            <w:vAlign w:val="center"/>
          </w:tcPr>
          <w:p w14:paraId="0585E250" w14:textId="77777777" w:rsidR="00312FC6" w:rsidRPr="004C4F6D" w:rsidRDefault="003919DE" w:rsidP="004C4F6D">
            <w:pPr>
              <w:spacing w:after="0" w:line="240" w:lineRule="auto"/>
              <w:ind w:right="133"/>
              <w:jc w:val="center"/>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PAID SERVICE FEE</w:t>
            </w:r>
          </w:p>
        </w:tc>
        <w:tc>
          <w:tcPr>
            <w:tcW w:w="2055" w:type="dxa"/>
            <w:gridSpan w:val="2"/>
            <w:tcBorders>
              <w:top w:val="single" w:sz="4" w:space="0" w:color="auto"/>
              <w:bottom w:val="single" w:sz="4" w:space="0" w:color="auto"/>
            </w:tcBorders>
            <w:vAlign w:val="center"/>
          </w:tcPr>
          <w:p w14:paraId="7C47CEA8" w14:textId="77777777" w:rsidR="00312FC6" w:rsidRPr="004C4F6D" w:rsidRDefault="003919DE" w:rsidP="004C4F6D">
            <w:pPr>
              <w:spacing w:after="0" w:line="240" w:lineRule="auto"/>
              <w:ind w:right="133"/>
              <w:jc w:val="center"/>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REMAINING UNPAID SERVICE FEE</w:t>
            </w:r>
          </w:p>
        </w:tc>
      </w:tr>
      <w:tr w:rsidR="00312FC6" w:rsidRPr="004C4F6D" w14:paraId="695F344B" w14:textId="77777777">
        <w:trPr>
          <w:trHeight w:val="222"/>
        </w:trPr>
        <w:tc>
          <w:tcPr>
            <w:tcW w:w="1281" w:type="dxa"/>
            <w:tcBorders>
              <w:top w:val="single" w:sz="4" w:space="0" w:color="auto"/>
            </w:tcBorders>
          </w:tcPr>
          <w:p w14:paraId="6AD13549" w14:textId="77777777" w:rsidR="00312FC6" w:rsidRPr="004C4F6D" w:rsidRDefault="003919DE" w:rsidP="004C4F6D">
            <w:pPr>
              <w:spacing w:after="0" w:line="240" w:lineRule="auto"/>
              <w:ind w:right="133"/>
              <w:jc w:val="center"/>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FSRF</w:t>
            </w:r>
          </w:p>
        </w:tc>
        <w:tc>
          <w:tcPr>
            <w:tcW w:w="1701" w:type="dxa"/>
            <w:tcBorders>
              <w:top w:val="single" w:sz="4" w:space="0" w:color="auto"/>
            </w:tcBorders>
          </w:tcPr>
          <w:p w14:paraId="76F61B51" w14:textId="77777777" w:rsidR="00312FC6" w:rsidRPr="004C4F6D" w:rsidRDefault="003919DE" w:rsidP="004C4F6D">
            <w:pPr>
              <w:tabs>
                <w:tab w:val="left" w:pos="855"/>
                <w:tab w:val="left" w:pos="1032"/>
              </w:tabs>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475,492</w:t>
            </w:r>
          </w:p>
        </w:tc>
        <w:tc>
          <w:tcPr>
            <w:tcW w:w="1843" w:type="dxa"/>
            <w:gridSpan w:val="2"/>
            <w:tcBorders>
              <w:top w:val="single" w:sz="4" w:space="0" w:color="auto"/>
            </w:tcBorders>
          </w:tcPr>
          <w:p w14:paraId="5A82DE8C" w14:textId="19375025" w:rsidR="00312FC6" w:rsidRPr="004C4F6D" w:rsidRDefault="003919DE" w:rsidP="004C4F6D">
            <w:pPr>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 xml:space="preserve">14,264,760.00 </w:t>
            </w:r>
          </w:p>
        </w:tc>
        <w:tc>
          <w:tcPr>
            <w:tcW w:w="1772" w:type="dxa"/>
            <w:tcBorders>
              <w:top w:val="single" w:sz="4" w:space="0" w:color="auto"/>
            </w:tcBorders>
          </w:tcPr>
          <w:p w14:paraId="69A07EE4" w14:textId="7A0A49BE" w:rsidR="00312FC6" w:rsidRPr="004C4F6D" w:rsidRDefault="003919DE" w:rsidP="004C4F6D">
            <w:pPr>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 xml:space="preserve"> 9,080,730.00 </w:t>
            </w:r>
          </w:p>
        </w:tc>
        <w:tc>
          <w:tcPr>
            <w:tcW w:w="2055" w:type="dxa"/>
            <w:gridSpan w:val="2"/>
            <w:tcBorders>
              <w:top w:val="single" w:sz="4" w:space="0" w:color="auto"/>
            </w:tcBorders>
          </w:tcPr>
          <w:p w14:paraId="4D30EF75" w14:textId="77BC07F7" w:rsidR="00312FC6" w:rsidRPr="004C4F6D" w:rsidRDefault="003919DE" w:rsidP="004C4F6D">
            <w:pPr>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 xml:space="preserve">5,184,030.00 </w:t>
            </w:r>
          </w:p>
        </w:tc>
      </w:tr>
      <w:tr w:rsidR="00312FC6" w:rsidRPr="004C4F6D" w14:paraId="6D0C3BAD" w14:textId="77777777">
        <w:trPr>
          <w:trHeight w:val="222"/>
        </w:trPr>
        <w:tc>
          <w:tcPr>
            <w:tcW w:w="1281" w:type="dxa"/>
            <w:tcBorders>
              <w:bottom w:val="single" w:sz="4" w:space="0" w:color="auto"/>
            </w:tcBorders>
          </w:tcPr>
          <w:p w14:paraId="04660475" w14:textId="77777777" w:rsidR="00312FC6" w:rsidRPr="004C4F6D" w:rsidRDefault="003919DE" w:rsidP="004C4F6D">
            <w:pPr>
              <w:spacing w:after="0" w:line="240" w:lineRule="auto"/>
              <w:ind w:right="133"/>
              <w:jc w:val="center"/>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RFFA</w:t>
            </w:r>
          </w:p>
        </w:tc>
        <w:tc>
          <w:tcPr>
            <w:tcW w:w="1701" w:type="dxa"/>
            <w:tcBorders>
              <w:bottom w:val="single" w:sz="4" w:space="0" w:color="auto"/>
            </w:tcBorders>
          </w:tcPr>
          <w:p w14:paraId="58C59C7F" w14:textId="77777777" w:rsidR="00312FC6" w:rsidRPr="004C4F6D" w:rsidRDefault="003919DE" w:rsidP="004C4F6D">
            <w:pPr>
              <w:tabs>
                <w:tab w:val="left" w:pos="855"/>
                <w:tab w:val="left" w:pos="1032"/>
              </w:tabs>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87,081</w:t>
            </w:r>
          </w:p>
        </w:tc>
        <w:tc>
          <w:tcPr>
            <w:tcW w:w="1843" w:type="dxa"/>
            <w:gridSpan w:val="2"/>
            <w:tcBorders>
              <w:bottom w:val="single" w:sz="4" w:space="0" w:color="auto"/>
            </w:tcBorders>
          </w:tcPr>
          <w:p w14:paraId="3011A37B" w14:textId="77777777" w:rsidR="00312FC6" w:rsidRPr="004C4F6D" w:rsidRDefault="003919DE" w:rsidP="004C4F6D">
            <w:pPr>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 xml:space="preserve">2,612,430.00 </w:t>
            </w:r>
          </w:p>
        </w:tc>
        <w:tc>
          <w:tcPr>
            <w:tcW w:w="1772" w:type="dxa"/>
            <w:tcBorders>
              <w:bottom w:val="single" w:sz="4" w:space="0" w:color="auto"/>
            </w:tcBorders>
          </w:tcPr>
          <w:p w14:paraId="2FB97C60" w14:textId="77777777" w:rsidR="00312FC6" w:rsidRPr="004C4F6D" w:rsidRDefault="003919DE" w:rsidP="004C4F6D">
            <w:pPr>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 xml:space="preserve">2,532,600.00 </w:t>
            </w:r>
          </w:p>
        </w:tc>
        <w:tc>
          <w:tcPr>
            <w:tcW w:w="2055" w:type="dxa"/>
            <w:gridSpan w:val="2"/>
            <w:tcBorders>
              <w:bottom w:val="single" w:sz="4" w:space="0" w:color="auto"/>
            </w:tcBorders>
          </w:tcPr>
          <w:p w14:paraId="79E54EC8" w14:textId="77777777" w:rsidR="00312FC6" w:rsidRPr="004C4F6D" w:rsidRDefault="003919DE" w:rsidP="004C4F6D">
            <w:pPr>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color w:val="000000"/>
                <w:sz w:val="18"/>
                <w:szCs w:val="18"/>
                <w:lang w:eastAsia="en-PH"/>
              </w:rPr>
              <w:t>79,830.00</w:t>
            </w:r>
          </w:p>
        </w:tc>
      </w:tr>
      <w:tr w:rsidR="00312FC6" w:rsidRPr="004C4F6D" w14:paraId="54AC6E77" w14:textId="77777777">
        <w:trPr>
          <w:trHeight w:val="222"/>
        </w:trPr>
        <w:tc>
          <w:tcPr>
            <w:tcW w:w="1281" w:type="dxa"/>
            <w:tcBorders>
              <w:top w:val="single" w:sz="4" w:space="0" w:color="auto"/>
              <w:bottom w:val="double" w:sz="4" w:space="0" w:color="auto"/>
            </w:tcBorders>
          </w:tcPr>
          <w:p w14:paraId="095A40C8" w14:textId="77777777" w:rsidR="00312FC6" w:rsidRPr="004C4F6D" w:rsidRDefault="003919DE" w:rsidP="004C4F6D">
            <w:pPr>
              <w:spacing w:after="0" w:line="240" w:lineRule="auto"/>
              <w:ind w:right="133"/>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TOTAL</w:t>
            </w:r>
          </w:p>
        </w:tc>
        <w:tc>
          <w:tcPr>
            <w:tcW w:w="1701" w:type="dxa"/>
            <w:tcBorders>
              <w:top w:val="single" w:sz="4" w:space="0" w:color="auto"/>
              <w:bottom w:val="double" w:sz="4" w:space="0" w:color="auto"/>
            </w:tcBorders>
          </w:tcPr>
          <w:p w14:paraId="6673DF8B" w14:textId="77777777" w:rsidR="00312FC6" w:rsidRPr="004C4F6D" w:rsidRDefault="003919DE" w:rsidP="004C4F6D">
            <w:pPr>
              <w:tabs>
                <w:tab w:val="left" w:pos="855"/>
                <w:tab w:val="left" w:pos="1032"/>
              </w:tabs>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562,573</w:t>
            </w:r>
          </w:p>
        </w:tc>
        <w:tc>
          <w:tcPr>
            <w:tcW w:w="1843" w:type="dxa"/>
            <w:gridSpan w:val="2"/>
            <w:tcBorders>
              <w:top w:val="single" w:sz="4" w:space="0" w:color="auto"/>
              <w:bottom w:val="double" w:sz="4" w:space="0" w:color="auto"/>
            </w:tcBorders>
          </w:tcPr>
          <w:p w14:paraId="0653BBC1" w14:textId="038A7802" w:rsidR="00312FC6" w:rsidRPr="004C4F6D" w:rsidRDefault="003919DE" w:rsidP="004C4F6D">
            <w:pPr>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16,877,190.00</w:t>
            </w:r>
          </w:p>
        </w:tc>
        <w:tc>
          <w:tcPr>
            <w:tcW w:w="1772" w:type="dxa"/>
            <w:tcBorders>
              <w:top w:val="single" w:sz="4" w:space="0" w:color="auto"/>
              <w:bottom w:val="double" w:sz="4" w:space="0" w:color="auto"/>
            </w:tcBorders>
          </w:tcPr>
          <w:p w14:paraId="55568FF0" w14:textId="722AA024" w:rsidR="00312FC6" w:rsidRPr="004C4F6D" w:rsidRDefault="003919DE" w:rsidP="004C4F6D">
            <w:pPr>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11,613,330.00</w:t>
            </w:r>
          </w:p>
        </w:tc>
        <w:tc>
          <w:tcPr>
            <w:tcW w:w="2055" w:type="dxa"/>
            <w:gridSpan w:val="2"/>
            <w:tcBorders>
              <w:top w:val="single" w:sz="4" w:space="0" w:color="auto"/>
              <w:bottom w:val="double" w:sz="4" w:space="0" w:color="auto"/>
            </w:tcBorders>
          </w:tcPr>
          <w:p w14:paraId="74DCC632" w14:textId="684E86DA" w:rsidR="00312FC6" w:rsidRPr="004C4F6D" w:rsidRDefault="003919DE" w:rsidP="004C4F6D">
            <w:pPr>
              <w:spacing w:after="0" w:line="240" w:lineRule="auto"/>
              <w:ind w:right="133"/>
              <w:jc w:val="right"/>
              <w:rPr>
                <w:rFonts w:ascii="Arial" w:eastAsia="Arial Narrow" w:hAnsi="Arial" w:cs="Arial"/>
                <w:color w:val="000000"/>
                <w:sz w:val="18"/>
                <w:szCs w:val="18"/>
                <w:lang w:eastAsia="en-PH"/>
              </w:rPr>
            </w:pPr>
            <w:r w:rsidRPr="004C4F6D">
              <w:rPr>
                <w:rFonts w:ascii="Arial" w:eastAsia="Arial Narrow" w:hAnsi="Arial" w:cs="Arial"/>
                <w:b/>
                <w:color w:val="000000"/>
                <w:sz w:val="18"/>
                <w:szCs w:val="18"/>
                <w:lang w:eastAsia="en-PH"/>
              </w:rPr>
              <w:t>5,263,860.00</w:t>
            </w:r>
          </w:p>
        </w:tc>
      </w:tr>
      <w:tr w:rsidR="00312FC6" w:rsidRPr="004C4F6D" w14:paraId="364DF928" w14:textId="77777777">
        <w:trPr>
          <w:trHeight w:val="222"/>
        </w:trPr>
        <w:tc>
          <w:tcPr>
            <w:tcW w:w="8364" w:type="dxa"/>
            <w:gridSpan w:val="6"/>
            <w:tcBorders>
              <w:top w:val="double" w:sz="4" w:space="0" w:color="auto"/>
            </w:tcBorders>
          </w:tcPr>
          <w:p w14:paraId="7616A045" w14:textId="77777777" w:rsidR="00312FC6" w:rsidRPr="004C4F6D" w:rsidRDefault="003919DE" w:rsidP="004C4F6D">
            <w:pPr>
              <w:spacing w:after="0" w:line="240" w:lineRule="auto"/>
              <w:ind w:right="133"/>
              <w:rPr>
                <w:rFonts w:ascii="Arial" w:eastAsia="Arial Narrow" w:hAnsi="Arial" w:cs="Arial"/>
                <w:color w:val="000000"/>
                <w:sz w:val="18"/>
                <w:szCs w:val="18"/>
                <w:lang w:eastAsia="en-PH"/>
              </w:rPr>
            </w:pPr>
            <w:r w:rsidRPr="004C4F6D">
              <w:rPr>
                <w:rFonts w:ascii="Arial" w:eastAsia="Arial Narrow" w:hAnsi="Arial" w:cs="Arial"/>
                <w:i/>
                <w:color w:val="000000"/>
                <w:sz w:val="18"/>
                <w:szCs w:val="18"/>
                <w:lang w:eastAsia="en-PH"/>
              </w:rPr>
              <w:t>*Transaction Cost for OTC Payment at P30 per paid beneficiary</w:t>
            </w:r>
          </w:p>
        </w:tc>
        <w:tc>
          <w:tcPr>
            <w:tcW w:w="288" w:type="dxa"/>
            <w:tcBorders>
              <w:top w:val="double" w:sz="4" w:space="0" w:color="auto"/>
            </w:tcBorders>
          </w:tcPr>
          <w:p w14:paraId="5D0F7D7C" w14:textId="77777777" w:rsidR="00312FC6" w:rsidRPr="004C4F6D" w:rsidRDefault="00312FC6" w:rsidP="004C4F6D">
            <w:pPr>
              <w:spacing w:after="0" w:line="240" w:lineRule="auto"/>
              <w:ind w:right="133"/>
              <w:rPr>
                <w:rFonts w:ascii="Arial" w:eastAsia="Arial Narrow" w:hAnsi="Arial" w:cs="Arial"/>
                <w:color w:val="000000"/>
                <w:sz w:val="18"/>
                <w:szCs w:val="18"/>
                <w:lang w:eastAsia="en-PH"/>
              </w:rPr>
            </w:pPr>
          </w:p>
        </w:tc>
      </w:tr>
    </w:tbl>
    <w:p w14:paraId="685C37B7" w14:textId="77777777" w:rsidR="00312FC6" w:rsidRPr="004C4F6D" w:rsidRDefault="00312FC6" w:rsidP="004C4F6D">
      <w:pPr>
        <w:spacing w:after="0" w:line="240" w:lineRule="auto"/>
        <w:jc w:val="both"/>
        <w:rPr>
          <w:rFonts w:ascii="Arial" w:eastAsia="Arial Narrow" w:hAnsi="Arial" w:cs="Arial"/>
          <w:color w:val="000000"/>
          <w:lang w:eastAsia="en-PH"/>
        </w:rPr>
      </w:pPr>
    </w:p>
    <w:p w14:paraId="34D24C8F" w14:textId="7840C13A"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GPSD </w:t>
      </w:r>
      <w:r w:rsidR="00180D31" w:rsidRPr="004C4F6D">
        <w:rPr>
          <w:rFonts w:ascii="Arial" w:eastAsia="Arial Narrow" w:hAnsi="Arial" w:cs="Arial"/>
        </w:rPr>
        <w:t xml:space="preserve">alleged </w:t>
      </w:r>
      <w:r w:rsidRPr="004C4F6D">
        <w:rPr>
          <w:rFonts w:ascii="Arial" w:eastAsia="Arial Narrow" w:hAnsi="Arial" w:cs="Arial"/>
        </w:rPr>
        <w:t xml:space="preserve">that the main cause of delay in the collection of the service fees and commission income </w:t>
      </w:r>
      <w:r w:rsidR="00180D31" w:rsidRPr="004C4F6D">
        <w:rPr>
          <w:rFonts w:ascii="Arial" w:eastAsia="Arial Narrow" w:hAnsi="Arial" w:cs="Arial"/>
        </w:rPr>
        <w:t>wa</w:t>
      </w:r>
      <w:r w:rsidRPr="004C4F6D">
        <w:rPr>
          <w:rFonts w:ascii="Arial" w:eastAsia="Arial Narrow" w:hAnsi="Arial" w:cs="Arial"/>
        </w:rPr>
        <w:t>s due to the lack of funds</w:t>
      </w:r>
      <w:r w:rsidR="001323DC" w:rsidRPr="004C4F6D">
        <w:rPr>
          <w:rFonts w:ascii="Arial" w:eastAsia="Arial Narrow" w:hAnsi="Arial" w:cs="Arial"/>
        </w:rPr>
        <w:t xml:space="preserve"> of DA</w:t>
      </w:r>
      <w:r w:rsidRPr="004C4F6D">
        <w:rPr>
          <w:rFonts w:ascii="Arial" w:eastAsia="Arial Narrow" w:hAnsi="Arial" w:cs="Arial"/>
        </w:rPr>
        <w:t>. LBP-GPSD disclosed that several follow ups were made through email to the DA on their request</w:t>
      </w:r>
      <w:r w:rsidR="00180D31" w:rsidRPr="004C4F6D">
        <w:rPr>
          <w:rFonts w:ascii="Arial" w:eastAsia="Arial Narrow" w:hAnsi="Arial" w:cs="Arial"/>
        </w:rPr>
        <w:t>ing</w:t>
      </w:r>
      <w:r w:rsidRPr="004C4F6D">
        <w:rPr>
          <w:rFonts w:ascii="Arial" w:eastAsia="Arial Narrow" w:hAnsi="Arial" w:cs="Arial"/>
        </w:rPr>
        <w:t xml:space="preserve"> for the additional funding but no replies were received from the agency.</w:t>
      </w:r>
    </w:p>
    <w:p w14:paraId="02CFE511"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7C936BDA" w14:textId="50FACC65" w:rsidR="00312FC6" w:rsidRPr="004C4F6D" w:rsidRDefault="00180D31"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 </w:t>
      </w:r>
      <w:r w:rsidR="00057D0E" w:rsidRPr="004C4F6D">
        <w:rPr>
          <w:rFonts w:ascii="Arial" w:eastAsia="Arial Narrow" w:hAnsi="Arial" w:cs="Arial"/>
        </w:rPr>
        <w:t xml:space="preserve">A </w:t>
      </w:r>
      <w:r w:rsidR="003919DE" w:rsidRPr="004C4F6D">
        <w:rPr>
          <w:rFonts w:ascii="Arial" w:eastAsia="Arial Narrow" w:hAnsi="Arial" w:cs="Arial"/>
        </w:rPr>
        <w:t xml:space="preserve">letter </w:t>
      </w:r>
      <w:r w:rsidRPr="004C4F6D">
        <w:rPr>
          <w:rFonts w:ascii="Arial" w:eastAsia="Arial Narrow" w:hAnsi="Arial" w:cs="Arial"/>
        </w:rPr>
        <w:t xml:space="preserve">sent by GPSD </w:t>
      </w:r>
      <w:r w:rsidR="003919DE" w:rsidRPr="004C4F6D">
        <w:rPr>
          <w:rFonts w:ascii="Arial" w:eastAsia="Arial Narrow" w:hAnsi="Arial" w:cs="Arial"/>
        </w:rPr>
        <w:t xml:space="preserve">to the DA on 27 February 2023 </w:t>
      </w:r>
      <w:r w:rsidR="00057D0E" w:rsidRPr="004C4F6D">
        <w:rPr>
          <w:rFonts w:ascii="Arial" w:eastAsia="Arial Narrow" w:hAnsi="Arial" w:cs="Arial"/>
        </w:rPr>
        <w:t xml:space="preserve">including </w:t>
      </w:r>
      <w:r w:rsidR="003919DE" w:rsidRPr="004C4F6D">
        <w:rPr>
          <w:rFonts w:ascii="Arial" w:eastAsia="Arial Narrow" w:hAnsi="Arial" w:cs="Arial"/>
        </w:rPr>
        <w:t>an e-mail on 14 June 2023 follow</w:t>
      </w:r>
      <w:r w:rsidR="00057D0E" w:rsidRPr="004C4F6D">
        <w:rPr>
          <w:rFonts w:ascii="Arial" w:eastAsia="Arial Narrow" w:hAnsi="Arial" w:cs="Arial"/>
        </w:rPr>
        <w:t>ed</w:t>
      </w:r>
      <w:r w:rsidR="003919DE" w:rsidRPr="004C4F6D">
        <w:rPr>
          <w:rFonts w:ascii="Arial" w:eastAsia="Arial Narrow" w:hAnsi="Arial" w:cs="Arial"/>
        </w:rPr>
        <w:t xml:space="preserve"> up the request of LANDBANK for additional funds for the payment of cash cards generation and distribution cost </w:t>
      </w:r>
      <w:r w:rsidR="00F71A1C" w:rsidRPr="004C4F6D">
        <w:rPr>
          <w:rFonts w:ascii="Arial" w:eastAsia="Arial Narrow" w:hAnsi="Arial" w:cs="Arial"/>
        </w:rPr>
        <w:t xml:space="preserve">of the </w:t>
      </w:r>
      <w:r w:rsidR="008145D9" w:rsidRPr="004C4F6D">
        <w:rPr>
          <w:rFonts w:ascii="Arial" w:eastAsia="Arial Narrow" w:hAnsi="Arial" w:cs="Arial"/>
        </w:rPr>
        <w:t>FSRF</w:t>
      </w:r>
      <w:r w:rsidR="00F71A1C" w:rsidRPr="004C4F6D">
        <w:rPr>
          <w:rFonts w:ascii="Arial" w:eastAsia="Arial Narrow" w:hAnsi="Arial" w:cs="Arial"/>
        </w:rPr>
        <w:t xml:space="preserve"> Program </w:t>
      </w:r>
      <w:r w:rsidR="00057D0E" w:rsidRPr="004C4F6D">
        <w:rPr>
          <w:rFonts w:ascii="Arial" w:eastAsia="Arial Narrow" w:hAnsi="Arial" w:cs="Arial"/>
        </w:rPr>
        <w:t>of P5,335,105.00</w:t>
      </w:r>
      <w:r w:rsidR="003132AD" w:rsidRPr="004C4F6D">
        <w:rPr>
          <w:rFonts w:ascii="Arial" w:eastAsia="Arial Narrow" w:hAnsi="Arial" w:cs="Arial"/>
        </w:rPr>
        <w:t>.</w:t>
      </w:r>
      <w:r w:rsidR="00057D0E" w:rsidRPr="004C4F6D">
        <w:rPr>
          <w:rFonts w:ascii="Arial" w:eastAsia="Arial Narrow" w:hAnsi="Arial" w:cs="Arial"/>
        </w:rPr>
        <w:t xml:space="preserve">  The amount requested </w:t>
      </w:r>
      <w:r w:rsidR="003919DE" w:rsidRPr="004C4F6D">
        <w:rPr>
          <w:rFonts w:ascii="Arial" w:eastAsia="Arial Narrow" w:hAnsi="Arial" w:cs="Arial"/>
        </w:rPr>
        <w:t>includes the P5,184,030.00 service fees for over-the-counter (OTC) payouts by LANDBANK servicing branches.</w:t>
      </w:r>
    </w:p>
    <w:p w14:paraId="3E9D909F"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3DC1E912" w14:textId="048F8B7E" w:rsidR="00312FC6" w:rsidRPr="004C4F6D" w:rsidRDefault="009C0674"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However, </w:t>
      </w:r>
      <w:r w:rsidR="004C4FAF" w:rsidRPr="004C4F6D">
        <w:rPr>
          <w:rFonts w:ascii="Arial" w:eastAsia="Arial Narrow" w:hAnsi="Arial" w:cs="Arial"/>
        </w:rPr>
        <w:t>verification showed</w:t>
      </w:r>
      <w:r w:rsidRPr="004C4F6D">
        <w:rPr>
          <w:rFonts w:ascii="Arial" w:eastAsia="Arial Narrow" w:hAnsi="Arial" w:cs="Arial"/>
        </w:rPr>
        <w:t xml:space="preserve"> </w:t>
      </w:r>
      <w:r w:rsidR="003919DE" w:rsidRPr="004C4F6D">
        <w:rPr>
          <w:rFonts w:ascii="Arial" w:eastAsia="Arial Narrow" w:hAnsi="Arial" w:cs="Arial"/>
        </w:rPr>
        <w:t>that there were delays in the preparation and submission by the various LBP Servicing Branches of the billing and liquidation documents as prerequisite of the DA to verify and pay the service fees due to the Bank for both FSRF and RFFA Programs. It was stated in the LBP Memorandum dated December 21, 2020,</w:t>
      </w:r>
      <w:r w:rsidR="004C4FAF" w:rsidRPr="004C4F6D">
        <w:rPr>
          <w:rFonts w:ascii="Arial" w:eastAsia="Arial Narrow" w:hAnsi="Arial" w:cs="Arial"/>
        </w:rPr>
        <w:t xml:space="preserve"> that</w:t>
      </w:r>
      <w:r w:rsidR="003919DE" w:rsidRPr="004C4F6D">
        <w:rPr>
          <w:rFonts w:ascii="Arial" w:eastAsia="Arial Narrow" w:hAnsi="Arial" w:cs="Arial"/>
        </w:rPr>
        <w:t xml:space="preserve"> the required supporting documents shall be submitted within ten (10) working days after the last payout month for reconciliation and billing purposes.</w:t>
      </w:r>
    </w:p>
    <w:p w14:paraId="5317320D"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3BE806BF" w14:textId="0063EB7D"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The LBP Servicing Branches</w:t>
      </w:r>
      <w:r w:rsidR="003E1776" w:rsidRPr="004C4F6D">
        <w:rPr>
          <w:rFonts w:ascii="Arial" w:eastAsia="Arial Narrow" w:hAnsi="Arial" w:cs="Arial"/>
        </w:rPr>
        <w:t xml:space="preserve"> officials </w:t>
      </w:r>
      <w:r w:rsidRPr="004C4F6D">
        <w:rPr>
          <w:rFonts w:ascii="Arial" w:eastAsia="Arial Narrow" w:hAnsi="Arial" w:cs="Arial"/>
        </w:rPr>
        <w:t xml:space="preserve">averred </w:t>
      </w:r>
      <w:r w:rsidR="003E1776" w:rsidRPr="004C4F6D">
        <w:rPr>
          <w:rFonts w:ascii="Arial" w:eastAsia="Arial Narrow" w:hAnsi="Arial" w:cs="Arial"/>
        </w:rPr>
        <w:t xml:space="preserve">the following reasons </w:t>
      </w:r>
      <w:r w:rsidRPr="004C4F6D">
        <w:rPr>
          <w:rFonts w:ascii="Arial" w:eastAsia="Arial Narrow" w:hAnsi="Arial" w:cs="Arial"/>
        </w:rPr>
        <w:t>that the</w:t>
      </w:r>
      <w:r w:rsidR="003E1776" w:rsidRPr="004C4F6D">
        <w:rPr>
          <w:rFonts w:ascii="Arial" w:eastAsia="Arial Narrow" w:hAnsi="Arial" w:cs="Arial"/>
        </w:rPr>
        <w:t xml:space="preserve"> </w:t>
      </w:r>
      <w:r w:rsidR="006C60A1" w:rsidRPr="004C4F6D">
        <w:rPr>
          <w:rFonts w:ascii="Arial" w:eastAsia="Arial Narrow" w:hAnsi="Arial" w:cs="Arial"/>
        </w:rPr>
        <w:t>GPSD’s</w:t>
      </w:r>
      <w:r w:rsidR="006C60A1" w:rsidRPr="004C4F6D" w:rsidDel="003E1776">
        <w:rPr>
          <w:rFonts w:ascii="Arial" w:eastAsia="Arial Narrow" w:hAnsi="Arial" w:cs="Arial"/>
        </w:rPr>
        <w:t xml:space="preserve"> </w:t>
      </w:r>
      <w:r w:rsidRPr="004C4F6D">
        <w:rPr>
          <w:rFonts w:ascii="Arial" w:eastAsia="Arial Narrow" w:hAnsi="Arial" w:cs="Arial"/>
        </w:rPr>
        <w:t xml:space="preserve">submission requirement of </w:t>
      </w:r>
      <w:r w:rsidR="006C60A1" w:rsidRPr="004C4F6D">
        <w:rPr>
          <w:rFonts w:ascii="Arial" w:eastAsia="Arial Narrow" w:hAnsi="Arial" w:cs="Arial"/>
        </w:rPr>
        <w:t xml:space="preserve">the billing and liquidation documents </w:t>
      </w:r>
      <w:r w:rsidRPr="004C4F6D">
        <w:rPr>
          <w:rFonts w:ascii="Arial" w:eastAsia="Arial Narrow" w:hAnsi="Arial" w:cs="Arial"/>
        </w:rPr>
        <w:t xml:space="preserve">within ten (10) workings days after the last day of pay-out month </w:t>
      </w:r>
      <w:r w:rsidR="003E1776" w:rsidRPr="004C4F6D">
        <w:rPr>
          <w:rFonts w:ascii="Arial" w:eastAsia="Arial Narrow" w:hAnsi="Arial" w:cs="Arial"/>
        </w:rPr>
        <w:t>was no</w:t>
      </w:r>
      <w:r w:rsidR="006C60A1" w:rsidRPr="004C4F6D">
        <w:rPr>
          <w:rFonts w:ascii="Arial" w:eastAsia="Arial Narrow" w:hAnsi="Arial" w:cs="Arial"/>
        </w:rPr>
        <w:t>t complied</w:t>
      </w:r>
      <w:r w:rsidR="009C0674" w:rsidRPr="004C4F6D">
        <w:rPr>
          <w:rFonts w:ascii="Arial" w:eastAsia="Arial Narrow" w:hAnsi="Arial" w:cs="Arial"/>
        </w:rPr>
        <w:t xml:space="preserve"> </w:t>
      </w:r>
      <w:r w:rsidRPr="004C4F6D">
        <w:rPr>
          <w:rFonts w:ascii="Arial" w:eastAsia="Arial Narrow" w:hAnsi="Arial" w:cs="Arial"/>
        </w:rPr>
        <w:t xml:space="preserve">due to the </w:t>
      </w:r>
      <w:r w:rsidR="009B15C8" w:rsidRPr="004C4F6D">
        <w:rPr>
          <w:rFonts w:ascii="Arial" w:eastAsia="Arial Narrow" w:hAnsi="Arial" w:cs="Arial"/>
        </w:rPr>
        <w:t>following:</w:t>
      </w:r>
    </w:p>
    <w:p w14:paraId="4F57A80D"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70D6CC51" w14:textId="706737A4" w:rsidR="00312FC6" w:rsidRPr="004C4F6D" w:rsidRDefault="003919DE" w:rsidP="004C4F6D">
      <w:pPr>
        <w:pStyle w:val="ListParagraph"/>
        <w:numPr>
          <w:ilvl w:val="7"/>
          <w:numId w:val="42"/>
        </w:numPr>
        <w:spacing w:after="0" w:line="240" w:lineRule="auto"/>
        <w:ind w:left="1276" w:hanging="556"/>
        <w:jc w:val="both"/>
        <w:rPr>
          <w:rFonts w:ascii="Arial" w:eastAsia="Arial Narrow" w:hAnsi="Arial" w:cs="Arial"/>
        </w:rPr>
      </w:pPr>
      <w:r w:rsidRPr="004C4F6D">
        <w:rPr>
          <w:rFonts w:ascii="Arial" w:eastAsia="Arial Narrow" w:hAnsi="Arial" w:cs="Arial"/>
        </w:rPr>
        <w:t xml:space="preserve">The task was assigned </w:t>
      </w:r>
      <w:r w:rsidR="006C60A1" w:rsidRPr="004C4F6D">
        <w:rPr>
          <w:rFonts w:ascii="Arial" w:eastAsia="Arial Narrow" w:hAnsi="Arial" w:cs="Arial"/>
        </w:rPr>
        <w:t xml:space="preserve">as an additional work load </w:t>
      </w:r>
      <w:r w:rsidRPr="004C4F6D">
        <w:rPr>
          <w:rFonts w:ascii="Arial" w:eastAsia="Arial Narrow" w:hAnsi="Arial" w:cs="Arial"/>
        </w:rPr>
        <w:t>to personnel</w:t>
      </w:r>
      <w:r w:rsidR="006C60A1" w:rsidRPr="004C4F6D">
        <w:rPr>
          <w:rFonts w:ascii="Arial" w:eastAsia="Arial Narrow" w:hAnsi="Arial" w:cs="Arial"/>
        </w:rPr>
        <w:t xml:space="preserve"> </w:t>
      </w:r>
      <w:r w:rsidRPr="004C4F6D">
        <w:rPr>
          <w:rFonts w:ascii="Arial" w:eastAsia="Arial Narrow" w:hAnsi="Arial" w:cs="Arial"/>
        </w:rPr>
        <w:t>with regular function;</w:t>
      </w:r>
    </w:p>
    <w:p w14:paraId="7B693835" w14:textId="77777777" w:rsidR="00312FC6" w:rsidRPr="004C4F6D" w:rsidRDefault="003919DE" w:rsidP="004C4F6D">
      <w:pPr>
        <w:pStyle w:val="ListParagraph"/>
        <w:numPr>
          <w:ilvl w:val="7"/>
          <w:numId w:val="42"/>
        </w:numPr>
        <w:spacing w:after="0" w:line="240" w:lineRule="auto"/>
        <w:ind w:left="1276" w:hanging="556"/>
        <w:jc w:val="both"/>
        <w:rPr>
          <w:rFonts w:ascii="Arial" w:eastAsia="Arial Narrow" w:hAnsi="Arial" w:cs="Arial"/>
        </w:rPr>
      </w:pPr>
      <w:r w:rsidRPr="004C4F6D">
        <w:rPr>
          <w:rFonts w:ascii="Arial" w:eastAsia="Arial Narrow" w:hAnsi="Arial" w:cs="Arial"/>
        </w:rPr>
        <w:t>The distribution was done amidst the surge of COVID-19, with the risk that personnel might get infected;</w:t>
      </w:r>
    </w:p>
    <w:p w14:paraId="0E9E41F7" w14:textId="77777777" w:rsidR="00312FC6" w:rsidRPr="004C4F6D" w:rsidRDefault="003919DE" w:rsidP="004C4F6D">
      <w:pPr>
        <w:pStyle w:val="ListParagraph"/>
        <w:numPr>
          <w:ilvl w:val="7"/>
          <w:numId w:val="42"/>
        </w:numPr>
        <w:spacing w:after="0" w:line="240" w:lineRule="auto"/>
        <w:ind w:left="1276" w:hanging="556"/>
        <w:jc w:val="both"/>
        <w:rPr>
          <w:rFonts w:ascii="Arial" w:eastAsia="Arial Narrow" w:hAnsi="Arial" w:cs="Arial"/>
        </w:rPr>
      </w:pPr>
      <w:r w:rsidRPr="004C4F6D">
        <w:rPr>
          <w:rFonts w:ascii="Arial" w:eastAsia="Arial Narrow" w:hAnsi="Arial" w:cs="Arial"/>
        </w:rPr>
        <w:t xml:space="preserve">The LBP Servicing Branch had experienced several closures due to COVID-19 infections among employees; </w:t>
      </w:r>
    </w:p>
    <w:p w14:paraId="68556C2E" w14:textId="655F9199" w:rsidR="00312FC6" w:rsidRDefault="003919DE" w:rsidP="004C4F6D">
      <w:pPr>
        <w:pStyle w:val="ListParagraph"/>
        <w:numPr>
          <w:ilvl w:val="7"/>
          <w:numId w:val="42"/>
        </w:numPr>
        <w:spacing w:after="0" w:line="240" w:lineRule="auto"/>
        <w:ind w:left="1276" w:hanging="556"/>
        <w:jc w:val="both"/>
        <w:rPr>
          <w:rFonts w:ascii="Arial" w:eastAsia="Arial Narrow" w:hAnsi="Arial" w:cs="Arial"/>
        </w:rPr>
      </w:pPr>
      <w:r w:rsidRPr="004C4F6D">
        <w:rPr>
          <w:rFonts w:ascii="Arial" w:eastAsia="Arial Narrow" w:hAnsi="Arial" w:cs="Arial"/>
        </w:rPr>
        <w:lastRenderedPageBreak/>
        <w:t>Request and instructions to extend the payout to accommodate other beneficiaries who were not able to claim during the scheduled offsite payouts due to various reasons, more particularly the COVID-19 protocols where beneficiaries were either on locked-down in other provinces, on quarantine, infected by the virus, or restricted to go out due to age and heath condition; and</w:t>
      </w:r>
    </w:p>
    <w:p w14:paraId="1E619A7D" w14:textId="77777777" w:rsidR="007C303C" w:rsidRPr="004C4F6D" w:rsidRDefault="007C303C" w:rsidP="007C303C">
      <w:pPr>
        <w:pStyle w:val="ListParagraph"/>
        <w:spacing w:after="0" w:line="240" w:lineRule="auto"/>
        <w:ind w:left="1276"/>
        <w:jc w:val="both"/>
        <w:rPr>
          <w:rFonts w:ascii="Arial" w:eastAsia="Arial Narrow" w:hAnsi="Arial" w:cs="Arial"/>
        </w:rPr>
      </w:pPr>
    </w:p>
    <w:p w14:paraId="30241D8B" w14:textId="77777777" w:rsidR="00312FC6" w:rsidRPr="004C4F6D" w:rsidRDefault="003919DE" w:rsidP="004C4F6D">
      <w:pPr>
        <w:pStyle w:val="ListParagraph"/>
        <w:numPr>
          <w:ilvl w:val="7"/>
          <w:numId w:val="42"/>
        </w:numPr>
        <w:spacing w:after="0" w:line="240" w:lineRule="auto"/>
        <w:ind w:left="1276" w:hanging="556"/>
        <w:jc w:val="both"/>
        <w:rPr>
          <w:rFonts w:ascii="Arial" w:eastAsia="Arial Narrow" w:hAnsi="Arial" w:cs="Arial"/>
        </w:rPr>
      </w:pPr>
      <w:r w:rsidRPr="004C4F6D">
        <w:rPr>
          <w:rFonts w:ascii="Arial" w:eastAsia="Arial Narrow" w:hAnsi="Arial" w:cs="Arial"/>
        </w:rPr>
        <w:t>Difficulties in handling reconciliation and completion of supporting documents specifically in completing the lacking signatures of farmer-beneficiaries on the “Received by” portion (some failed to sign on all three copies) of the Payroll List.</w:t>
      </w:r>
    </w:p>
    <w:p w14:paraId="748E287F" w14:textId="77777777" w:rsidR="00312FC6" w:rsidRPr="004C4F6D" w:rsidRDefault="00312FC6" w:rsidP="004C4F6D">
      <w:pPr>
        <w:tabs>
          <w:tab w:val="left" w:pos="720"/>
        </w:tabs>
        <w:spacing w:after="0" w:line="240" w:lineRule="auto"/>
        <w:ind w:right="133"/>
        <w:jc w:val="both"/>
        <w:rPr>
          <w:rFonts w:ascii="Arial" w:eastAsia="Arial Narrow" w:hAnsi="Arial" w:cs="Arial"/>
        </w:rPr>
      </w:pPr>
    </w:p>
    <w:p w14:paraId="0CB48986" w14:textId="45AA1C30" w:rsidR="00312FC6" w:rsidRPr="004C4F6D" w:rsidRDefault="009C0674"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Review also showed that</w:t>
      </w:r>
      <w:r w:rsidR="009B15C8" w:rsidRPr="004C4F6D">
        <w:rPr>
          <w:rFonts w:ascii="Arial" w:eastAsia="Arial Narrow" w:hAnsi="Arial" w:cs="Arial"/>
        </w:rPr>
        <w:t xml:space="preserve"> </w:t>
      </w:r>
      <w:r w:rsidRPr="004C4F6D">
        <w:rPr>
          <w:rFonts w:ascii="Arial" w:eastAsia="Arial Narrow" w:hAnsi="Arial" w:cs="Arial"/>
        </w:rPr>
        <w:t xml:space="preserve">while </w:t>
      </w:r>
      <w:r w:rsidR="003919DE" w:rsidRPr="004C4F6D">
        <w:rPr>
          <w:rFonts w:ascii="Arial" w:eastAsia="Arial Narrow" w:hAnsi="Arial" w:cs="Arial"/>
        </w:rPr>
        <w:t>the distribution of cash grants under the FSRF and RFFA Programs were already</w:t>
      </w:r>
      <w:r w:rsidR="009B15C8" w:rsidRPr="004C4F6D">
        <w:rPr>
          <w:rFonts w:ascii="Arial" w:eastAsia="Arial Narrow" w:hAnsi="Arial" w:cs="Arial"/>
        </w:rPr>
        <w:t xml:space="preserve"> </w:t>
      </w:r>
      <w:r w:rsidR="003919DE" w:rsidRPr="004C4F6D">
        <w:rPr>
          <w:rFonts w:ascii="Arial" w:eastAsia="Arial Narrow" w:hAnsi="Arial" w:cs="Arial"/>
        </w:rPr>
        <w:t xml:space="preserve">concluded on February 25, </w:t>
      </w:r>
      <w:r w:rsidR="009B15C8" w:rsidRPr="004C4F6D">
        <w:rPr>
          <w:rFonts w:ascii="Arial" w:eastAsia="Arial Narrow" w:hAnsi="Arial" w:cs="Arial"/>
        </w:rPr>
        <w:t>2021, the</w:t>
      </w:r>
      <w:r w:rsidR="003919DE" w:rsidRPr="004C4F6D">
        <w:rPr>
          <w:rFonts w:ascii="Arial" w:eastAsia="Arial Narrow" w:hAnsi="Arial" w:cs="Arial"/>
        </w:rPr>
        <w:t xml:space="preserve"> LBP Servicing Branches </w:t>
      </w:r>
      <w:r w:rsidRPr="004C4F6D">
        <w:rPr>
          <w:rFonts w:ascii="Arial" w:eastAsia="Arial Narrow" w:hAnsi="Arial" w:cs="Arial"/>
        </w:rPr>
        <w:t xml:space="preserve">were not </w:t>
      </w:r>
      <w:r w:rsidR="003919DE" w:rsidRPr="004C4F6D">
        <w:rPr>
          <w:rFonts w:ascii="Arial" w:eastAsia="Arial Narrow" w:hAnsi="Arial" w:cs="Arial"/>
        </w:rPr>
        <w:t>able to prepare and submit the supporting liquidation documents and billing statements to GPSD and their respective Accounting Centers for the proper settlement of the accrued service fees receivable</w:t>
      </w:r>
      <w:r w:rsidR="00034F8B" w:rsidRPr="004C4F6D">
        <w:rPr>
          <w:rFonts w:ascii="Arial" w:eastAsia="Arial Narrow" w:hAnsi="Arial" w:cs="Arial"/>
        </w:rPr>
        <w:t xml:space="preserve"> as at December 31, 2022</w:t>
      </w:r>
      <w:r w:rsidR="003919DE" w:rsidRPr="004C4F6D">
        <w:rPr>
          <w:rFonts w:ascii="Arial" w:eastAsia="Arial Narrow" w:hAnsi="Arial" w:cs="Arial"/>
        </w:rPr>
        <w:t>.</w:t>
      </w:r>
    </w:p>
    <w:p w14:paraId="050C970D"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4F0B7822" w14:textId="424E692B"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The delay in submission of the required documents </w:t>
      </w:r>
      <w:r w:rsidR="00034F8B" w:rsidRPr="004C4F6D">
        <w:rPr>
          <w:rFonts w:ascii="Arial" w:eastAsia="Arial Narrow" w:hAnsi="Arial" w:cs="Arial"/>
        </w:rPr>
        <w:t>for</w:t>
      </w:r>
      <w:r w:rsidRPr="004C4F6D">
        <w:rPr>
          <w:rFonts w:ascii="Arial" w:eastAsia="Arial Narrow" w:hAnsi="Arial" w:cs="Arial"/>
        </w:rPr>
        <w:t xml:space="preserve"> the Bank to collect service fees resulted </w:t>
      </w:r>
      <w:r w:rsidR="00034F8B" w:rsidRPr="004C4F6D">
        <w:rPr>
          <w:rFonts w:ascii="Arial" w:eastAsia="Arial Narrow" w:hAnsi="Arial" w:cs="Arial"/>
        </w:rPr>
        <w:t>in</w:t>
      </w:r>
      <w:r w:rsidRPr="004C4F6D">
        <w:rPr>
          <w:rFonts w:ascii="Arial" w:eastAsia="Arial Narrow" w:hAnsi="Arial" w:cs="Arial"/>
        </w:rPr>
        <w:t xml:space="preserve"> </w:t>
      </w:r>
      <w:r w:rsidR="00305680" w:rsidRPr="004C4F6D">
        <w:rPr>
          <w:rFonts w:ascii="Arial" w:eastAsia="Arial Narrow" w:hAnsi="Arial" w:cs="Arial"/>
        </w:rPr>
        <w:t xml:space="preserve">uncollected </w:t>
      </w:r>
      <w:r w:rsidRPr="004C4F6D">
        <w:rPr>
          <w:rFonts w:ascii="Arial" w:eastAsia="Arial Narrow" w:hAnsi="Arial" w:cs="Arial"/>
        </w:rPr>
        <w:t xml:space="preserve">service fees and commission income from OTC payments lodged in the AR–GE account amounting to P5,263,860.00 from three (3) days to more than two (2) years, thus, </w:t>
      </w:r>
      <w:r w:rsidR="009B15C8" w:rsidRPr="004C4F6D">
        <w:rPr>
          <w:rFonts w:ascii="Arial" w:eastAsia="Arial Narrow" w:hAnsi="Arial" w:cs="Arial"/>
        </w:rPr>
        <w:t>depriving</w:t>
      </w:r>
      <w:r w:rsidRPr="004C4F6D">
        <w:rPr>
          <w:rFonts w:ascii="Arial" w:eastAsia="Arial Narrow" w:hAnsi="Arial" w:cs="Arial"/>
        </w:rPr>
        <w:t xml:space="preserve"> the Bank of additional funds </w:t>
      </w:r>
      <w:r w:rsidRPr="004C4F6D">
        <w:rPr>
          <w:rFonts w:ascii="Arial" w:eastAsia="Arial Narrow" w:hAnsi="Arial" w:cs="Arial"/>
          <w:color w:val="000000"/>
        </w:rPr>
        <w:t>for financial assistance and support services to its mandated and priority sectors.</w:t>
      </w:r>
    </w:p>
    <w:p w14:paraId="060C82DA" w14:textId="77777777" w:rsidR="00312FC6" w:rsidRPr="004C4F6D" w:rsidRDefault="00312FC6" w:rsidP="004C4F6D">
      <w:pPr>
        <w:pStyle w:val="ListParagraph"/>
        <w:spacing w:after="0" w:line="240" w:lineRule="auto"/>
        <w:rPr>
          <w:rFonts w:ascii="Arial" w:eastAsia="Arial Narrow" w:hAnsi="Arial" w:cs="Arial"/>
        </w:rPr>
      </w:pPr>
    </w:p>
    <w:p w14:paraId="29049826" w14:textId="59A2D781"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b/>
        </w:rPr>
      </w:pPr>
      <w:r w:rsidRPr="004C4F6D">
        <w:rPr>
          <w:rFonts w:ascii="Arial" w:eastAsia="Arial Narrow" w:hAnsi="Arial" w:cs="Arial"/>
          <w:b/>
          <w:lang w:eastAsia="en-PH"/>
        </w:rPr>
        <w:t>We recommended that the LBP Servicing Branches prepare and submit full liquidation documents and billing statements to GPSD, within the timeline set by the GPSD, pursuant to the prerequisite of the DA to enable verification, reconciliation and collection of the service fees and commission income lodged under the AR-GE account.</w:t>
      </w:r>
    </w:p>
    <w:p w14:paraId="304DB110" w14:textId="77777777" w:rsidR="00312FC6" w:rsidRPr="004C4F6D" w:rsidRDefault="00312FC6" w:rsidP="004C4F6D">
      <w:pPr>
        <w:pStyle w:val="ListParagraph"/>
        <w:spacing w:after="0" w:line="240" w:lineRule="auto"/>
        <w:rPr>
          <w:rFonts w:ascii="Arial" w:eastAsia="Arial Narrow" w:hAnsi="Arial" w:cs="Arial"/>
          <w:b/>
        </w:rPr>
      </w:pPr>
    </w:p>
    <w:p w14:paraId="360F1218" w14:textId="2F16A917" w:rsidR="00312FC6" w:rsidRPr="004C4F6D" w:rsidRDefault="003919DE" w:rsidP="004C4F6D">
      <w:pPr>
        <w:pStyle w:val="ListParagraph"/>
        <w:numPr>
          <w:ilvl w:val="1"/>
          <w:numId w:val="42"/>
        </w:numPr>
        <w:spacing w:after="0" w:line="240" w:lineRule="auto"/>
        <w:ind w:left="0" w:right="133" w:firstLine="0"/>
        <w:jc w:val="both"/>
        <w:rPr>
          <w:rFonts w:ascii="Arial" w:eastAsia="Arial Narrow" w:hAnsi="Arial" w:cs="Arial"/>
          <w:color w:val="000000"/>
          <w:lang w:eastAsia="en-PH"/>
        </w:rPr>
      </w:pPr>
      <w:r w:rsidRPr="004C4F6D">
        <w:rPr>
          <w:rFonts w:ascii="Arial" w:eastAsia="Arial Narrow" w:hAnsi="Arial" w:cs="Arial"/>
          <w:lang w:eastAsia="en-PH"/>
        </w:rPr>
        <w:t xml:space="preserve">GPSD </w:t>
      </w:r>
      <w:r w:rsidR="00305680" w:rsidRPr="004C4F6D">
        <w:rPr>
          <w:rFonts w:ascii="Arial" w:eastAsia="Arial Narrow" w:hAnsi="Arial" w:cs="Arial"/>
          <w:lang w:eastAsia="en-PH"/>
        </w:rPr>
        <w:t>informed that</w:t>
      </w:r>
      <w:r w:rsidR="009C0674" w:rsidRPr="004C4F6D">
        <w:rPr>
          <w:rFonts w:ascii="Arial" w:eastAsia="Arial Narrow" w:hAnsi="Arial" w:cs="Arial"/>
          <w:lang w:eastAsia="en-PH"/>
        </w:rPr>
        <w:t xml:space="preserve"> actions are already being undertaken to implement the recommendations.</w:t>
      </w:r>
      <w:r w:rsidR="00305680" w:rsidRPr="004C4F6D">
        <w:rPr>
          <w:rFonts w:ascii="Arial" w:eastAsia="Arial Narrow" w:hAnsi="Arial" w:cs="Arial"/>
          <w:lang w:eastAsia="en-PH"/>
        </w:rPr>
        <w:t xml:space="preserve"> </w:t>
      </w:r>
    </w:p>
    <w:p w14:paraId="7B35FA15" w14:textId="77777777" w:rsidR="00312FC6" w:rsidRPr="004C4F6D" w:rsidRDefault="00312FC6" w:rsidP="004C4F6D">
      <w:pPr>
        <w:spacing w:after="0" w:line="240" w:lineRule="auto"/>
        <w:ind w:right="174"/>
        <w:jc w:val="both"/>
        <w:rPr>
          <w:rFonts w:ascii="Arial" w:eastAsia="Arial Narrow" w:hAnsi="Arial" w:cs="Arial"/>
          <w:color w:val="000000"/>
          <w:lang w:eastAsia="en-PH"/>
        </w:rPr>
      </w:pPr>
    </w:p>
    <w:p w14:paraId="60C7EFE3" w14:textId="77777777" w:rsidR="00312FC6" w:rsidRPr="004C4F6D" w:rsidRDefault="00312FC6" w:rsidP="004C4F6D">
      <w:pPr>
        <w:spacing w:after="0" w:line="240" w:lineRule="auto"/>
        <w:ind w:right="174"/>
        <w:jc w:val="both"/>
        <w:rPr>
          <w:rFonts w:ascii="Arial" w:eastAsia="Arial Narrow" w:hAnsi="Arial" w:cs="Arial"/>
          <w:color w:val="000000"/>
          <w:lang w:eastAsia="en-PH"/>
        </w:rPr>
      </w:pPr>
    </w:p>
    <w:p w14:paraId="714AC5D5" w14:textId="6C5AFF30" w:rsidR="00312FC6" w:rsidRPr="004C4F6D" w:rsidRDefault="003919DE" w:rsidP="004C4F6D">
      <w:pPr>
        <w:numPr>
          <w:ilvl w:val="0"/>
          <w:numId w:val="35"/>
        </w:numPr>
        <w:spacing w:after="0" w:line="240" w:lineRule="auto"/>
        <w:ind w:left="0" w:firstLine="0"/>
        <w:jc w:val="both"/>
        <w:rPr>
          <w:rFonts w:ascii="Arial" w:eastAsia="Arial Narrow" w:hAnsi="Arial" w:cs="Arial"/>
        </w:rPr>
      </w:pPr>
      <w:r w:rsidRPr="004C4F6D">
        <w:rPr>
          <w:rFonts w:ascii="Arial" w:eastAsia="Arial Narrow" w:hAnsi="Arial" w:cs="Arial"/>
          <w:b/>
        </w:rPr>
        <w:t xml:space="preserve">Delays in responding to and resolving system issues and errors related to InstaPay, PESOnet, BancNet, and iAccess, resulted </w:t>
      </w:r>
      <w:r w:rsidR="001A1277" w:rsidRPr="004C4F6D">
        <w:rPr>
          <w:rFonts w:ascii="Arial" w:eastAsia="Arial Narrow" w:hAnsi="Arial" w:cs="Arial"/>
          <w:b/>
        </w:rPr>
        <w:t>in</w:t>
      </w:r>
      <w:r w:rsidRPr="004C4F6D">
        <w:rPr>
          <w:rFonts w:ascii="Arial" w:eastAsia="Arial Narrow" w:hAnsi="Arial" w:cs="Arial"/>
          <w:b/>
        </w:rPr>
        <w:t xml:space="preserve"> long outstanding receivables </w:t>
      </w:r>
      <w:r w:rsidR="0063275E" w:rsidRPr="004C4F6D">
        <w:rPr>
          <w:rFonts w:ascii="Arial" w:eastAsia="Arial Narrow" w:hAnsi="Arial" w:cs="Arial"/>
          <w:b/>
        </w:rPr>
        <w:t xml:space="preserve">amounting </w:t>
      </w:r>
      <w:r w:rsidRPr="004C4F6D">
        <w:rPr>
          <w:rFonts w:ascii="Arial" w:eastAsia="Arial Narrow" w:hAnsi="Arial" w:cs="Arial"/>
          <w:b/>
        </w:rPr>
        <w:t xml:space="preserve">P16,859,061.65 as at December 31, 2022, contrary to LBP Administrative Order No. 018, and LBP Executive Order (EO) No. 088, </w:t>
      </w:r>
      <w:r w:rsidR="009C0674" w:rsidRPr="004C4F6D">
        <w:rPr>
          <w:rFonts w:ascii="Arial" w:eastAsia="Arial Narrow" w:hAnsi="Arial" w:cs="Arial"/>
          <w:b/>
        </w:rPr>
        <w:t xml:space="preserve">and thus, </w:t>
      </w:r>
      <w:r w:rsidRPr="004C4F6D">
        <w:rPr>
          <w:rFonts w:ascii="Arial" w:eastAsia="Arial Narrow" w:hAnsi="Arial" w:cs="Arial"/>
          <w:b/>
        </w:rPr>
        <w:t>expos</w:t>
      </w:r>
      <w:r w:rsidR="009C0674" w:rsidRPr="004C4F6D">
        <w:rPr>
          <w:rFonts w:ascii="Arial" w:eastAsia="Arial Narrow" w:hAnsi="Arial" w:cs="Arial"/>
          <w:b/>
        </w:rPr>
        <w:t>ing</w:t>
      </w:r>
      <w:r w:rsidRPr="004C4F6D">
        <w:rPr>
          <w:rFonts w:ascii="Arial" w:eastAsia="Arial Narrow" w:hAnsi="Arial" w:cs="Arial"/>
          <w:b/>
        </w:rPr>
        <w:t xml:space="preserve"> the Bank to risks of unrecoverable losses.</w:t>
      </w:r>
    </w:p>
    <w:p w14:paraId="5C946B92" w14:textId="77777777" w:rsidR="00312FC6" w:rsidRPr="004C4F6D" w:rsidRDefault="00312FC6" w:rsidP="004C4F6D">
      <w:pPr>
        <w:pStyle w:val="ListParagraph"/>
        <w:spacing w:after="0" w:line="240" w:lineRule="auto"/>
        <w:ind w:left="0" w:right="195"/>
        <w:jc w:val="both"/>
        <w:rPr>
          <w:rFonts w:ascii="Arial" w:eastAsia="Arial Narrow" w:hAnsi="Arial" w:cs="Arial"/>
        </w:rPr>
      </w:pPr>
    </w:p>
    <w:p w14:paraId="44EFAF28" w14:textId="77777777" w:rsidR="00312FC6" w:rsidRPr="004C4F6D" w:rsidRDefault="00312FC6" w:rsidP="004C4F6D">
      <w:pPr>
        <w:pStyle w:val="ListParagraph"/>
        <w:numPr>
          <w:ilvl w:val="0"/>
          <w:numId w:val="42"/>
        </w:numPr>
        <w:spacing w:after="0" w:line="240" w:lineRule="auto"/>
        <w:jc w:val="both"/>
        <w:rPr>
          <w:rFonts w:ascii="Arial" w:eastAsia="Arial Narrow" w:hAnsi="Arial" w:cs="Arial"/>
          <w:vanish/>
        </w:rPr>
      </w:pPr>
    </w:p>
    <w:p w14:paraId="7857B6EC" w14:textId="136427B4" w:rsidR="00B9799F"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Section C.2 of LB</w:t>
      </w:r>
      <w:r w:rsidR="00666151">
        <w:rPr>
          <w:rFonts w:ascii="Arial" w:eastAsia="Arial Narrow" w:hAnsi="Arial" w:cs="Arial"/>
        </w:rPr>
        <w:t>P</w:t>
      </w:r>
      <w:r w:rsidRPr="004C4F6D">
        <w:rPr>
          <w:rFonts w:ascii="Arial" w:eastAsia="Arial Narrow" w:hAnsi="Arial" w:cs="Arial"/>
        </w:rPr>
        <w:t xml:space="preserve"> Administrative Order</w:t>
      </w:r>
      <w:r w:rsidR="00037989" w:rsidRPr="004C4F6D">
        <w:rPr>
          <w:rFonts w:ascii="Arial" w:eastAsia="Arial Narrow" w:hAnsi="Arial" w:cs="Arial"/>
        </w:rPr>
        <w:t xml:space="preserve"> (AO)</w:t>
      </w:r>
      <w:r w:rsidRPr="004C4F6D">
        <w:rPr>
          <w:rFonts w:ascii="Arial" w:eastAsia="Arial Narrow" w:hAnsi="Arial" w:cs="Arial"/>
        </w:rPr>
        <w:t xml:space="preserve"> No. 018, Series of 2019 on the General Guidelines o</w:t>
      </w:r>
      <w:r w:rsidR="0063275E" w:rsidRPr="004C4F6D">
        <w:rPr>
          <w:rFonts w:ascii="Arial" w:eastAsia="Arial Narrow" w:hAnsi="Arial" w:cs="Arial"/>
        </w:rPr>
        <w:t>f</w:t>
      </w:r>
      <w:r w:rsidRPr="004C4F6D">
        <w:rPr>
          <w:rFonts w:ascii="Arial" w:eastAsia="Arial Narrow" w:hAnsi="Arial" w:cs="Arial"/>
        </w:rPr>
        <w:t xml:space="preserve"> Accounts Receivable</w:t>
      </w:r>
      <w:r w:rsidR="0063275E" w:rsidRPr="004C4F6D">
        <w:rPr>
          <w:rFonts w:ascii="Arial" w:eastAsia="Arial Narrow" w:hAnsi="Arial" w:cs="Arial"/>
        </w:rPr>
        <w:t xml:space="preserve"> </w:t>
      </w:r>
      <w:r w:rsidRPr="004C4F6D">
        <w:rPr>
          <w:rFonts w:ascii="Arial" w:eastAsia="Arial Narrow" w:hAnsi="Arial" w:cs="Arial"/>
        </w:rPr>
        <w:t xml:space="preserve">(A/R) provides that </w:t>
      </w:r>
      <w:r w:rsidRPr="004C4F6D">
        <w:rPr>
          <w:rFonts w:ascii="Arial" w:eastAsia="Arial Narrow" w:hAnsi="Arial" w:cs="Arial"/>
          <w:b/>
          <w:i/>
        </w:rPr>
        <w:t>A/R shall be collected immediately upon incurrence.</w:t>
      </w:r>
      <w:r w:rsidR="00B9799F" w:rsidRPr="004C4F6D">
        <w:rPr>
          <w:rFonts w:ascii="Arial" w:eastAsia="Arial Narrow" w:hAnsi="Arial" w:cs="Arial"/>
          <w:i/>
        </w:rPr>
        <w:t xml:space="preserve"> (emphasis ours)</w:t>
      </w:r>
      <w:r w:rsidR="00B9799F" w:rsidRPr="004C4F6D">
        <w:rPr>
          <w:rFonts w:ascii="Arial" w:eastAsia="Arial Narrow" w:hAnsi="Arial" w:cs="Arial"/>
        </w:rPr>
        <w:t>.</w:t>
      </w:r>
    </w:p>
    <w:p w14:paraId="648BF47B" w14:textId="77777777" w:rsidR="00312FC6" w:rsidRPr="004C4F6D" w:rsidRDefault="00312FC6" w:rsidP="004C4F6D">
      <w:pPr>
        <w:pStyle w:val="ListParagraph"/>
        <w:spacing w:after="0" w:line="240" w:lineRule="auto"/>
        <w:ind w:left="0" w:right="195"/>
        <w:jc w:val="both"/>
        <w:rPr>
          <w:rFonts w:ascii="Arial" w:eastAsia="Arial Narrow" w:hAnsi="Arial" w:cs="Arial"/>
        </w:rPr>
      </w:pPr>
    </w:p>
    <w:p w14:paraId="682EFE94" w14:textId="1B5940D9"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Section D.1.b of LBP Executive Order (EO) No. 088, Series of 2015 on the Guidelines in Handling Incident, Problem and Change Management of Information Technology Application Systems prescribe</w:t>
      </w:r>
      <w:r w:rsidR="00273B4C" w:rsidRPr="004C4F6D">
        <w:rPr>
          <w:rFonts w:ascii="Arial" w:eastAsia="Arial Narrow" w:hAnsi="Arial" w:cs="Arial"/>
        </w:rPr>
        <w:t>d</w:t>
      </w:r>
      <w:r w:rsidRPr="004C4F6D">
        <w:rPr>
          <w:rFonts w:ascii="Arial" w:eastAsia="Arial Narrow" w:hAnsi="Arial" w:cs="Arial"/>
        </w:rPr>
        <w:t xml:space="preserve"> that </w:t>
      </w:r>
      <w:r w:rsidRPr="004C4F6D">
        <w:rPr>
          <w:rFonts w:ascii="Arial" w:eastAsia="Arial Narrow" w:hAnsi="Arial" w:cs="Arial"/>
          <w:i/>
        </w:rPr>
        <w:t xml:space="preserve">The Application Administrator shall respond, evaluate, resolve and/or facilitate resolution of reported incident by performing appropriate incident handling and response/resolution, which includes remedial steps (manual/procedural solution) or work-around procedures to be taken (if any), </w:t>
      </w:r>
      <w:r w:rsidRPr="004C4F6D">
        <w:rPr>
          <w:rFonts w:ascii="Arial" w:eastAsia="Arial Narrow" w:hAnsi="Arial" w:cs="Arial"/>
          <w:b/>
          <w:i/>
        </w:rPr>
        <w:t xml:space="preserve">to address the cause or provide immediate resolution. </w:t>
      </w:r>
      <w:r w:rsidRPr="004C4F6D">
        <w:rPr>
          <w:rFonts w:ascii="Arial" w:eastAsia="Arial Narrow" w:hAnsi="Arial" w:cs="Arial"/>
          <w:i/>
        </w:rPr>
        <w:t>(emphasis ours)</w:t>
      </w:r>
      <w:r w:rsidRPr="004C4F6D">
        <w:rPr>
          <w:rFonts w:ascii="Arial" w:eastAsia="Arial Narrow" w:hAnsi="Arial" w:cs="Arial"/>
        </w:rPr>
        <w:t>.</w:t>
      </w:r>
    </w:p>
    <w:p w14:paraId="6DE9632E" w14:textId="77777777" w:rsidR="00312FC6" w:rsidRPr="004C4F6D" w:rsidRDefault="00312FC6" w:rsidP="004C4F6D">
      <w:pPr>
        <w:pStyle w:val="ListParagraph"/>
        <w:spacing w:after="0" w:line="240" w:lineRule="auto"/>
        <w:ind w:left="0" w:right="195"/>
        <w:jc w:val="both"/>
        <w:rPr>
          <w:rFonts w:ascii="Arial" w:eastAsia="Arial Narrow" w:hAnsi="Arial" w:cs="Arial"/>
        </w:rPr>
      </w:pPr>
    </w:p>
    <w:p w14:paraId="2D8EDFBC" w14:textId="6496CA46" w:rsidR="00312FC6" w:rsidRPr="004C4F6D" w:rsidRDefault="00273B4C"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O</w:t>
      </w:r>
      <w:r w:rsidR="003919DE" w:rsidRPr="004C4F6D">
        <w:rPr>
          <w:rFonts w:ascii="Arial" w:eastAsia="Arial Narrow" w:hAnsi="Arial" w:cs="Arial"/>
        </w:rPr>
        <w:t xml:space="preserve">n January 17, 2023, FAD issued a memorandum </w:t>
      </w:r>
      <w:r w:rsidR="00366D63" w:rsidRPr="004C4F6D">
        <w:rPr>
          <w:rFonts w:ascii="Arial" w:eastAsia="Arial Narrow" w:hAnsi="Arial" w:cs="Arial"/>
        </w:rPr>
        <w:t>regarding</w:t>
      </w:r>
      <w:r w:rsidR="003919DE" w:rsidRPr="004C4F6D">
        <w:rPr>
          <w:rFonts w:ascii="Arial" w:eastAsia="Arial Narrow" w:hAnsi="Arial" w:cs="Arial"/>
        </w:rPr>
        <w:t xml:space="preserve"> the reconciliation statement of Due from BSP account as of December 31, 2022</w:t>
      </w:r>
      <w:r w:rsidR="00366D63" w:rsidRPr="004C4F6D">
        <w:rPr>
          <w:rFonts w:ascii="Arial" w:eastAsia="Arial Narrow" w:hAnsi="Arial" w:cs="Arial"/>
        </w:rPr>
        <w:t xml:space="preserve"> and</w:t>
      </w:r>
      <w:r w:rsidR="003919DE" w:rsidRPr="004C4F6D">
        <w:rPr>
          <w:rFonts w:ascii="Arial" w:eastAsia="Arial Narrow" w:hAnsi="Arial" w:cs="Arial"/>
        </w:rPr>
        <w:t xml:space="preserve"> instructing all concerned units to book/resolve float items pertaining to respective units on or before January 31, 2023.  </w:t>
      </w:r>
    </w:p>
    <w:p w14:paraId="5D2A0B3C" w14:textId="77777777" w:rsidR="00312FC6" w:rsidRPr="004C4F6D" w:rsidRDefault="00312FC6" w:rsidP="004C4F6D">
      <w:pPr>
        <w:pStyle w:val="ListParagraph"/>
        <w:spacing w:after="0" w:line="240" w:lineRule="auto"/>
        <w:ind w:left="0"/>
        <w:jc w:val="both"/>
        <w:rPr>
          <w:rFonts w:ascii="Arial" w:eastAsia="Arial Narrow" w:hAnsi="Arial" w:cs="Arial"/>
        </w:rPr>
      </w:pPr>
    </w:p>
    <w:p w14:paraId="30FDD1C4" w14:textId="6EC5A96E"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Review of A</w:t>
      </w:r>
      <w:r w:rsidR="00527BB1" w:rsidRPr="004C4F6D">
        <w:rPr>
          <w:rFonts w:ascii="Arial" w:eastAsia="Arial Narrow" w:hAnsi="Arial" w:cs="Arial"/>
        </w:rPr>
        <w:t>/R</w:t>
      </w:r>
      <w:r w:rsidRPr="004C4F6D">
        <w:rPr>
          <w:rFonts w:ascii="Arial" w:eastAsia="Arial Narrow" w:hAnsi="Arial" w:cs="Arial"/>
        </w:rPr>
        <w:t xml:space="preserve">, Due from BSP and Due from/to Head Office/Branch accounts of the ATM Operations Support Department (AOSD) and Foreign and Domestic Remittance Department (FDRD) </w:t>
      </w:r>
      <w:r w:rsidR="00366D63" w:rsidRPr="004C4F6D">
        <w:rPr>
          <w:rFonts w:ascii="Arial" w:eastAsia="Arial Narrow" w:hAnsi="Arial" w:cs="Arial"/>
        </w:rPr>
        <w:t xml:space="preserve">disclosed </w:t>
      </w:r>
      <w:r w:rsidRPr="004C4F6D">
        <w:rPr>
          <w:rFonts w:ascii="Arial" w:eastAsia="Arial Narrow" w:hAnsi="Arial" w:cs="Arial"/>
        </w:rPr>
        <w:t>collectibles by the Bank arising from the following:</w:t>
      </w:r>
    </w:p>
    <w:p w14:paraId="1465254C" w14:textId="77777777" w:rsidR="00312FC6" w:rsidRPr="004C4F6D" w:rsidRDefault="00312FC6" w:rsidP="004C4F6D">
      <w:pPr>
        <w:pStyle w:val="ListParagraph"/>
        <w:spacing w:after="0" w:line="240" w:lineRule="auto"/>
        <w:ind w:left="0" w:right="195"/>
        <w:jc w:val="both"/>
        <w:rPr>
          <w:rFonts w:ascii="Arial" w:eastAsia="Arial Narrow" w:hAnsi="Arial" w:cs="Arial"/>
        </w:rPr>
      </w:pPr>
    </w:p>
    <w:tbl>
      <w:tblPr>
        <w:tblW w:w="8509" w:type="dxa"/>
        <w:jc w:val="center"/>
        <w:tblLayout w:type="fixed"/>
        <w:tblLook w:val="04A0" w:firstRow="1" w:lastRow="0" w:firstColumn="1" w:lastColumn="0" w:noHBand="0" w:noVBand="1"/>
      </w:tblPr>
      <w:tblGrid>
        <w:gridCol w:w="1010"/>
        <w:gridCol w:w="5387"/>
        <w:gridCol w:w="2112"/>
      </w:tblGrid>
      <w:tr w:rsidR="00E52F96" w:rsidRPr="004C4F6D" w14:paraId="05CE60FE" w14:textId="77777777" w:rsidTr="00510AD5">
        <w:trPr>
          <w:tblHeader/>
          <w:jc w:val="center"/>
        </w:trPr>
        <w:tc>
          <w:tcPr>
            <w:tcW w:w="6397" w:type="dxa"/>
            <w:gridSpan w:val="2"/>
            <w:tcBorders>
              <w:top w:val="single" w:sz="4" w:space="0" w:color="auto"/>
              <w:bottom w:val="single" w:sz="4" w:space="0" w:color="auto"/>
            </w:tcBorders>
          </w:tcPr>
          <w:p w14:paraId="50CA679A" w14:textId="77777777" w:rsidR="00E52F96" w:rsidRPr="004C4F6D" w:rsidRDefault="00E52F96" w:rsidP="004C4F6D">
            <w:pPr>
              <w:spacing w:after="0" w:line="240" w:lineRule="auto"/>
              <w:jc w:val="center"/>
              <w:rPr>
                <w:rFonts w:ascii="Arial" w:eastAsia="Arial Narrow" w:hAnsi="Arial" w:cs="Arial"/>
                <w:lang w:eastAsia="en-PH"/>
              </w:rPr>
            </w:pPr>
            <w:r w:rsidRPr="004C4F6D">
              <w:rPr>
                <w:rFonts w:ascii="Arial" w:eastAsia="Arial Narrow" w:hAnsi="Arial" w:cs="Arial"/>
                <w:b/>
                <w:lang w:eastAsia="en-PH"/>
              </w:rPr>
              <w:t>Particulars</w:t>
            </w:r>
          </w:p>
        </w:tc>
        <w:tc>
          <w:tcPr>
            <w:tcW w:w="2112" w:type="dxa"/>
            <w:tcBorders>
              <w:top w:val="single" w:sz="4" w:space="0" w:color="auto"/>
              <w:bottom w:val="single" w:sz="4" w:space="0" w:color="auto"/>
            </w:tcBorders>
          </w:tcPr>
          <w:p w14:paraId="7FF56FC9" w14:textId="77777777" w:rsidR="00E52F96" w:rsidRPr="004C4F6D" w:rsidRDefault="00E52F96" w:rsidP="004C4F6D">
            <w:pPr>
              <w:spacing w:after="0" w:line="240" w:lineRule="auto"/>
              <w:jc w:val="center"/>
              <w:rPr>
                <w:rFonts w:ascii="Arial" w:eastAsia="Arial Narrow" w:hAnsi="Arial" w:cs="Arial"/>
                <w:lang w:eastAsia="en-PH"/>
              </w:rPr>
            </w:pPr>
            <w:r w:rsidRPr="004C4F6D">
              <w:rPr>
                <w:rFonts w:ascii="Arial" w:eastAsia="Arial Narrow" w:hAnsi="Arial" w:cs="Arial"/>
                <w:b/>
                <w:lang w:eastAsia="en-PH"/>
              </w:rPr>
              <w:t>Amount</w:t>
            </w:r>
          </w:p>
        </w:tc>
      </w:tr>
      <w:tr w:rsidR="00312FC6" w:rsidRPr="004C4F6D" w14:paraId="383F4F91" w14:textId="77777777">
        <w:trPr>
          <w:jc w:val="center"/>
        </w:trPr>
        <w:tc>
          <w:tcPr>
            <w:tcW w:w="1010" w:type="dxa"/>
            <w:tcBorders>
              <w:top w:val="single" w:sz="4" w:space="0" w:color="auto"/>
            </w:tcBorders>
          </w:tcPr>
          <w:p w14:paraId="596BA433" w14:textId="77777777" w:rsidR="00312FC6" w:rsidRPr="004C4F6D" w:rsidRDefault="003919DE" w:rsidP="004C4F6D">
            <w:pPr>
              <w:spacing w:after="0" w:line="240" w:lineRule="auto"/>
              <w:rPr>
                <w:rFonts w:ascii="Arial" w:eastAsia="Arial Narrow" w:hAnsi="Arial" w:cs="Arial"/>
                <w:lang w:eastAsia="en-PH"/>
              </w:rPr>
            </w:pPr>
            <w:r w:rsidRPr="004C4F6D">
              <w:rPr>
                <w:rFonts w:ascii="Arial" w:eastAsia="Arial Narrow" w:hAnsi="Arial" w:cs="Arial"/>
                <w:lang w:eastAsia="en-PH"/>
              </w:rPr>
              <w:t>AOSD</w:t>
            </w:r>
          </w:p>
        </w:tc>
        <w:tc>
          <w:tcPr>
            <w:tcW w:w="5387" w:type="dxa"/>
            <w:tcBorders>
              <w:top w:val="single" w:sz="4" w:space="0" w:color="auto"/>
            </w:tcBorders>
          </w:tcPr>
          <w:p w14:paraId="11870DA6" w14:textId="77777777" w:rsidR="00312FC6" w:rsidRPr="004C4F6D" w:rsidRDefault="003919DE" w:rsidP="004C4F6D">
            <w:pPr>
              <w:spacing w:after="0" w:line="240" w:lineRule="auto"/>
              <w:rPr>
                <w:rFonts w:ascii="Arial" w:eastAsia="Arial Narrow" w:hAnsi="Arial" w:cs="Arial"/>
                <w:lang w:eastAsia="en-PH"/>
              </w:rPr>
            </w:pPr>
            <w:r w:rsidRPr="004C4F6D">
              <w:rPr>
                <w:rFonts w:ascii="Arial" w:eastAsia="Arial Narrow" w:hAnsi="Arial" w:cs="Arial"/>
                <w:lang w:eastAsia="en-PH"/>
              </w:rPr>
              <w:t>IBFT/InstaPay transactions not debited from LBP’s cardholders</w:t>
            </w:r>
          </w:p>
        </w:tc>
        <w:tc>
          <w:tcPr>
            <w:tcW w:w="2112" w:type="dxa"/>
            <w:tcBorders>
              <w:top w:val="single" w:sz="4" w:space="0" w:color="auto"/>
            </w:tcBorders>
          </w:tcPr>
          <w:p w14:paraId="052359F9" w14:textId="3001E5E3" w:rsidR="00312FC6" w:rsidRPr="004C4F6D" w:rsidRDefault="003919DE" w:rsidP="004C4F6D">
            <w:pPr>
              <w:spacing w:after="0" w:line="240" w:lineRule="auto"/>
              <w:jc w:val="right"/>
              <w:rPr>
                <w:rFonts w:ascii="Arial" w:eastAsia="Arial Narrow" w:hAnsi="Arial" w:cs="Arial"/>
                <w:lang w:eastAsia="en-PH"/>
              </w:rPr>
            </w:pPr>
            <w:r w:rsidRPr="004C4F6D">
              <w:rPr>
                <w:rFonts w:ascii="Arial" w:eastAsia="Arial Narrow" w:hAnsi="Arial" w:cs="Arial"/>
                <w:lang w:eastAsia="en-PH"/>
              </w:rPr>
              <w:t xml:space="preserve"> 1,732,854.00</w:t>
            </w:r>
          </w:p>
        </w:tc>
      </w:tr>
      <w:tr w:rsidR="00312FC6" w:rsidRPr="004C4F6D" w14:paraId="49AAE9C5" w14:textId="77777777">
        <w:trPr>
          <w:jc w:val="center"/>
        </w:trPr>
        <w:tc>
          <w:tcPr>
            <w:tcW w:w="1010" w:type="dxa"/>
          </w:tcPr>
          <w:p w14:paraId="6FDC4AA9" w14:textId="77777777" w:rsidR="00312FC6" w:rsidRPr="004C4F6D" w:rsidRDefault="003919DE" w:rsidP="004C4F6D">
            <w:pPr>
              <w:spacing w:after="0" w:line="240" w:lineRule="auto"/>
              <w:jc w:val="both"/>
              <w:rPr>
                <w:rFonts w:ascii="Arial" w:eastAsia="Arial Narrow" w:hAnsi="Arial" w:cs="Arial"/>
                <w:lang w:eastAsia="en-PH"/>
              </w:rPr>
            </w:pPr>
            <w:r w:rsidRPr="004C4F6D">
              <w:rPr>
                <w:rFonts w:ascii="Arial" w:eastAsia="Arial Narrow" w:hAnsi="Arial" w:cs="Arial"/>
                <w:lang w:eastAsia="en-PH"/>
              </w:rPr>
              <w:t>AOSD</w:t>
            </w:r>
          </w:p>
        </w:tc>
        <w:tc>
          <w:tcPr>
            <w:tcW w:w="5387" w:type="dxa"/>
          </w:tcPr>
          <w:p w14:paraId="71291F31" w14:textId="77777777" w:rsidR="00312FC6" w:rsidRPr="004C4F6D" w:rsidRDefault="003919DE" w:rsidP="004C4F6D">
            <w:pPr>
              <w:spacing w:after="0" w:line="240" w:lineRule="auto"/>
              <w:jc w:val="both"/>
              <w:rPr>
                <w:rFonts w:ascii="Arial" w:eastAsia="Arial Narrow" w:hAnsi="Arial" w:cs="Arial"/>
                <w:lang w:eastAsia="en-PH"/>
              </w:rPr>
            </w:pPr>
            <w:r w:rsidRPr="004C4F6D">
              <w:rPr>
                <w:rFonts w:ascii="Arial" w:eastAsia="Arial Narrow" w:hAnsi="Arial" w:cs="Arial"/>
                <w:lang w:eastAsia="en-PH"/>
              </w:rPr>
              <w:t>Charge Slip Issued against LBP</w:t>
            </w:r>
          </w:p>
        </w:tc>
        <w:tc>
          <w:tcPr>
            <w:tcW w:w="2112" w:type="dxa"/>
          </w:tcPr>
          <w:p w14:paraId="519E86EC" w14:textId="77777777" w:rsidR="00312FC6" w:rsidRPr="004C4F6D" w:rsidRDefault="003919DE" w:rsidP="004C4F6D">
            <w:pPr>
              <w:spacing w:after="0" w:line="240" w:lineRule="auto"/>
              <w:jc w:val="right"/>
              <w:rPr>
                <w:rFonts w:ascii="Arial" w:eastAsia="Arial Narrow" w:hAnsi="Arial" w:cs="Arial"/>
                <w:lang w:eastAsia="en-PH"/>
              </w:rPr>
            </w:pPr>
            <w:r w:rsidRPr="004C4F6D">
              <w:rPr>
                <w:rFonts w:ascii="Arial" w:eastAsia="Arial Narrow" w:hAnsi="Arial" w:cs="Arial"/>
                <w:lang w:eastAsia="en-PH"/>
              </w:rPr>
              <w:t>4,966,381.00</w:t>
            </w:r>
          </w:p>
        </w:tc>
      </w:tr>
      <w:tr w:rsidR="00312FC6" w:rsidRPr="004C4F6D" w14:paraId="447314DB" w14:textId="77777777">
        <w:trPr>
          <w:jc w:val="center"/>
        </w:trPr>
        <w:tc>
          <w:tcPr>
            <w:tcW w:w="1010" w:type="dxa"/>
          </w:tcPr>
          <w:p w14:paraId="3CD702D5" w14:textId="77777777" w:rsidR="00312FC6" w:rsidRPr="004C4F6D" w:rsidRDefault="003919DE" w:rsidP="004C4F6D">
            <w:pPr>
              <w:spacing w:after="0" w:line="240" w:lineRule="auto"/>
              <w:ind w:right="-287"/>
              <w:jc w:val="both"/>
              <w:rPr>
                <w:rFonts w:ascii="Arial" w:eastAsia="Arial Narrow" w:hAnsi="Arial" w:cs="Arial"/>
                <w:lang w:eastAsia="en-PH"/>
              </w:rPr>
            </w:pPr>
            <w:r w:rsidRPr="004C4F6D">
              <w:rPr>
                <w:rFonts w:ascii="Arial" w:eastAsia="Arial Narrow" w:hAnsi="Arial" w:cs="Arial"/>
                <w:lang w:eastAsia="en-PH"/>
              </w:rPr>
              <w:t>FDRD</w:t>
            </w:r>
          </w:p>
        </w:tc>
        <w:tc>
          <w:tcPr>
            <w:tcW w:w="5387" w:type="dxa"/>
          </w:tcPr>
          <w:p w14:paraId="1F947E2C" w14:textId="77777777" w:rsidR="00312FC6" w:rsidRPr="004C4F6D" w:rsidRDefault="003919DE" w:rsidP="004C4F6D">
            <w:pPr>
              <w:spacing w:after="0" w:line="240" w:lineRule="auto"/>
              <w:ind w:right="180"/>
              <w:jc w:val="both"/>
              <w:rPr>
                <w:rFonts w:ascii="Arial" w:eastAsia="Arial Narrow" w:hAnsi="Arial" w:cs="Arial"/>
                <w:lang w:eastAsia="en-PH"/>
              </w:rPr>
            </w:pPr>
            <w:r w:rsidRPr="004C4F6D">
              <w:rPr>
                <w:rFonts w:ascii="Arial" w:eastAsia="Arial Narrow" w:hAnsi="Arial" w:cs="Arial"/>
                <w:lang w:eastAsia="en-PH"/>
              </w:rPr>
              <w:t xml:space="preserve">Errors in manual input of status code in the PesoNet System based on LBRS generated data </w:t>
            </w:r>
          </w:p>
        </w:tc>
        <w:tc>
          <w:tcPr>
            <w:tcW w:w="2112" w:type="dxa"/>
          </w:tcPr>
          <w:p w14:paraId="1EB91AD4" w14:textId="77777777" w:rsidR="00312FC6" w:rsidRPr="004C4F6D" w:rsidRDefault="00312FC6" w:rsidP="004C4F6D">
            <w:pPr>
              <w:spacing w:after="0" w:line="240" w:lineRule="auto"/>
              <w:jc w:val="right"/>
              <w:rPr>
                <w:rFonts w:ascii="Arial" w:eastAsia="Arial Narrow" w:hAnsi="Arial" w:cs="Arial"/>
                <w:lang w:eastAsia="en-PH"/>
              </w:rPr>
            </w:pPr>
          </w:p>
          <w:p w14:paraId="3E46FD60" w14:textId="77777777" w:rsidR="00312FC6" w:rsidRPr="004C4F6D" w:rsidRDefault="003919DE" w:rsidP="004C4F6D">
            <w:pPr>
              <w:spacing w:after="0" w:line="240" w:lineRule="auto"/>
              <w:jc w:val="right"/>
              <w:rPr>
                <w:rFonts w:ascii="Arial" w:eastAsia="Arial Narrow" w:hAnsi="Arial" w:cs="Arial"/>
                <w:lang w:eastAsia="en-PH"/>
              </w:rPr>
            </w:pPr>
            <w:r w:rsidRPr="004C4F6D">
              <w:rPr>
                <w:rFonts w:ascii="Arial" w:eastAsia="Arial Narrow" w:hAnsi="Arial" w:cs="Arial"/>
                <w:lang w:eastAsia="en-PH"/>
              </w:rPr>
              <w:t>8,319,045.91</w:t>
            </w:r>
          </w:p>
        </w:tc>
      </w:tr>
      <w:tr w:rsidR="00312FC6" w:rsidRPr="004C4F6D" w14:paraId="3D857014" w14:textId="77777777">
        <w:trPr>
          <w:jc w:val="center"/>
        </w:trPr>
        <w:tc>
          <w:tcPr>
            <w:tcW w:w="1010" w:type="dxa"/>
            <w:tcBorders>
              <w:bottom w:val="single" w:sz="4" w:space="0" w:color="auto"/>
            </w:tcBorders>
          </w:tcPr>
          <w:p w14:paraId="0DF3EC41" w14:textId="77777777" w:rsidR="00312FC6" w:rsidRPr="004C4F6D" w:rsidRDefault="003919DE" w:rsidP="004C4F6D">
            <w:pPr>
              <w:spacing w:after="0" w:line="240" w:lineRule="auto"/>
              <w:ind w:right="-287"/>
              <w:jc w:val="both"/>
              <w:rPr>
                <w:rFonts w:ascii="Arial" w:eastAsia="Arial Narrow" w:hAnsi="Arial" w:cs="Arial"/>
                <w:lang w:eastAsia="en-PH"/>
              </w:rPr>
            </w:pPr>
            <w:r w:rsidRPr="004C4F6D">
              <w:rPr>
                <w:rFonts w:ascii="Arial" w:eastAsia="Arial Narrow" w:hAnsi="Arial" w:cs="Arial"/>
                <w:lang w:eastAsia="en-PH"/>
              </w:rPr>
              <w:t>FDRD</w:t>
            </w:r>
          </w:p>
        </w:tc>
        <w:tc>
          <w:tcPr>
            <w:tcW w:w="5387" w:type="dxa"/>
            <w:tcBorders>
              <w:bottom w:val="single" w:sz="4" w:space="0" w:color="auto"/>
            </w:tcBorders>
          </w:tcPr>
          <w:p w14:paraId="61BB3328" w14:textId="77777777" w:rsidR="00312FC6" w:rsidRPr="004C4F6D" w:rsidRDefault="003919DE" w:rsidP="004C4F6D">
            <w:pPr>
              <w:spacing w:after="0" w:line="240" w:lineRule="auto"/>
              <w:rPr>
                <w:rFonts w:ascii="Arial" w:eastAsia="Arial Narrow" w:hAnsi="Arial" w:cs="Arial"/>
                <w:color w:val="000000"/>
                <w:lang w:eastAsia="en-PH"/>
              </w:rPr>
            </w:pPr>
            <w:r w:rsidRPr="004C4F6D">
              <w:rPr>
                <w:rFonts w:ascii="Arial" w:eastAsia="Arial Narrow" w:hAnsi="Arial" w:cs="Arial"/>
                <w:color w:val="000000"/>
                <w:lang w:eastAsia="en-PH"/>
              </w:rPr>
              <w:t>iAccess system error</w:t>
            </w:r>
          </w:p>
        </w:tc>
        <w:tc>
          <w:tcPr>
            <w:tcW w:w="2112" w:type="dxa"/>
            <w:tcBorders>
              <w:bottom w:val="single" w:sz="4" w:space="0" w:color="auto"/>
            </w:tcBorders>
          </w:tcPr>
          <w:p w14:paraId="65A6728D" w14:textId="53DCF1EE" w:rsidR="00312FC6" w:rsidRPr="004C4F6D" w:rsidRDefault="003919DE" w:rsidP="004C4F6D">
            <w:pPr>
              <w:spacing w:after="0" w:line="240" w:lineRule="auto"/>
              <w:jc w:val="right"/>
              <w:rPr>
                <w:rFonts w:ascii="Arial" w:eastAsia="Arial Narrow" w:hAnsi="Arial" w:cs="Arial"/>
                <w:lang w:eastAsia="en-PH"/>
              </w:rPr>
            </w:pPr>
            <w:r w:rsidRPr="004C4F6D">
              <w:rPr>
                <w:rFonts w:ascii="Arial" w:eastAsia="Arial Narrow" w:hAnsi="Arial" w:cs="Arial"/>
                <w:lang w:eastAsia="en-PH"/>
              </w:rPr>
              <w:t>1,840,780.74</w:t>
            </w:r>
          </w:p>
        </w:tc>
      </w:tr>
      <w:tr w:rsidR="00312FC6" w:rsidRPr="004C4F6D" w14:paraId="7E40EC00" w14:textId="77777777">
        <w:trPr>
          <w:trHeight w:val="62"/>
          <w:jc w:val="center"/>
        </w:trPr>
        <w:tc>
          <w:tcPr>
            <w:tcW w:w="1010" w:type="dxa"/>
            <w:tcBorders>
              <w:top w:val="single" w:sz="4" w:space="0" w:color="auto"/>
              <w:bottom w:val="double" w:sz="4" w:space="0" w:color="auto"/>
            </w:tcBorders>
          </w:tcPr>
          <w:p w14:paraId="43297579" w14:textId="77777777" w:rsidR="00312FC6" w:rsidRPr="004C4F6D" w:rsidRDefault="003919DE" w:rsidP="004C4F6D">
            <w:pPr>
              <w:spacing w:after="0" w:line="240" w:lineRule="auto"/>
              <w:jc w:val="both"/>
              <w:rPr>
                <w:rFonts w:ascii="Arial" w:eastAsia="Arial Narrow" w:hAnsi="Arial" w:cs="Arial"/>
                <w:b/>
                <w:lang w:eastAsia="en-PH"/>
              </w:rPr>
            </w:pPr>
            <w:r w:rsidRPr="004C4F6D">
              <w:rPr>
                <w:rFonts w:ascii="Arial" w:eastAsia="Arial Narrow" w:hAnsi="Arial" w:cs="Arial"/>
                <w:b/>
                <w:lang w:eastAsia="en-PH"/>
              </w:rPr>
              <w:t>Total</w:t>
            </w:r>
          </w:p>
        </w:tc>
        <w:tc>
          <w:tcPr>
            <w:tcW w:w="5387" w:type="dxa"/>
            <w:tcBorders>
              <w:top w:val="single" w:sz="4" w:space="0" w:color="auto"/>
              <w:bottom w:val="double" w:sz="4" w:space="0" w:color="auto"/>
            </w:tcBorders>
          </w:tcPr>
          <w:p w14:paraId="288C845E" w14:textId="77777777" w:rsidR="00312FC6" w:rsidRPr="004C4F6D" w:rsidRDefault="00312FC6" w:rsidP="004C4F6D">
            <w:pPr>
              <w:spacing w:after="0" w:line="240" w:lineRule="auto"/>
              <w:jc w:val="both"/>
              <w:rPr>
                <w:rFonts w:ascii="Arial" w:eastAsia="Arial Narrow" w:hAnsi="Arial" w:cs="Arial"/>
                <w:b/>
                <w:lang w:eastAsia="en-PH"/>
              </w:rPr>
            </w:pPr>
          </w:p>
        </w:tc>
        <w:tc>
          <w:tcPr>
            <w:tcW w:w="2112" w:type="dxa"/>
            <w:tcBorders>
              <w:top w:val="single" w:sz="4" w:space="0" w:color="auto"/>
              <w:bottom w:val="double" w:sz="4" w:space="0" w:color="auto"/>
            </w:tcBorders>
          </w:tcPr>
          <w:p w14:paraId="31BEC2B8" w14:textId="5E3A27B4" w:rsidR="00312FC6" w:rsidRPr="004C4F6D" w:rsidRDefault="003919DE" w:rsidP="004C4F6D">
            <w:pPr>
              <w:spacing w:after="0" w:line="240" w:lineRule="auto"/>
              <w:jc w:val="right"/>
              <w:rPr>
                <w:rFonts w:ascii="Arial" w:eastAsia="Arial Narrow" w:hAnsi="Arial" w:cs="Arial"/>
                <w:b/>
                <w:lang w:eastAsia="en-PH"/>
              </w:rPr>
            </w:pPr>
            <w:r w:rsidRPr="004C4F6D">
              <w:rPr>
                <w:rFonts w:ascii="Arial" w:eastAsia="Arial Narrow" w:hAnsi="Arial" w:cs="Arial"/>
                <w:b/>
                <w:lang w:eastAsia="en-PH"/>
              </w:rPr>
              <w:t>16,859,061.6</w:t>
            </w:r>
            <w:r w:rsidRPr="004C4F6D">
              <w:rPr>
                <w:rFonts w:ascii="Arial" w:eastAsia="Arial Narrow" w:hAnsi="Arial" w:cs="Arial"/>
                <w:b/>
                <w:lang w:val="en-US" w:eastAsia="en-PH"/>
              </w:rPr>
              <w:t>5</w:t>
            </w:r>
          </w:p>
        </w:tc>
      </w:tr>
    </w:tbl>
    <w:p w14:paraId="1BAAB011" w14:textId="77777777" w:rsidR="00312FC6" w:rsidRPr="004C4F6D" w:rsidRDefault="00312FC6" w:rsidP="004C4F6D">
      <w:pPr>
        <w:pStyle w:val="ListParagraph"/>
        <w:spacing w:after="0" w:line="240" w:lineRule="auto"/>
        <w:ind w:left="0" w:right="195"/>
        <w:jc w:val="both"/>
        <w:rPr>
          <w:rFonts w:ascii="Arial" w:eastAsia="Arial Narrow" w:hAnsi="Arial" w:cs="Arial"/>
        </w:rPr>
      </w:pPr>
    </w:p>
    <w:p w14:paraId="7E313D96" w14:textId="65E2A8A3" w:rsidR="00312FC6" w:rsidRPr="004C4F6D" w:rsidRDefault="003919DE" w:rsidP="004C4F6D">
      <w:pPr>
        <w:pStyle w:val="ListParagraph"/>
        <w:spacing w:after="0" w:line="240" w:lineRule="auto"/>
        <w:ind w:left="0"/>
        <w:jc w:val="both"/>
        <w:rPr>
          <w:rFonts w:ascii="Arial" w:eastAsia="Arial Narrow" w:hAnsi="Arial" w:cs="Arial"/>
          <w:b/>
          <w:i/>
        </w:rPr>
      </w:pPr>
      <w:r w:rsidRPr="004C4F6D">
        <w:rPr>
          <w:rFonts w:ascii="Arial" w:eastAsia="Arial Narrow" w:hAnsi="Arial" w:cs="Arial"/>
          <w:b/>
          <w:i/>
        </w:rPr>
        <w:t xml:space="preserve">Settled InstaPay transactions but not debited from LBP’s cardholders </w:t>
      </w:r>
      <w:r w:rsidR="00E52F96" w:rsidRPr="004C4F6D">
        <w:rPr>
          <w:rFonts w:ascii="Arial" w:eastAsia="Arial Narrow" w:hAnsi="Arial" w:cs="Arial"/>
          <w:b/>
          <w:i/>
        </w:rPr>
        <w:t>amounting</w:t>
      </w:r>
      <w:r w:rsidRPr="004C4F6D">
        <w:rPr>
          <w:rFonts w:ascii="Arial" w:eastAsia="Arial Narrow" w:hAnsi="Arial" w:cs="Arial"/>
          <w:b/>
          <w:i/>
        </w:rPr>
        <w:t xml:space="preserve"> P1,732,854.00</w:t>
      </w:r>
    </w:p>
    <w:p w14:paraId="42149349" w14:textId="77777777" w:rsidR="00312FC6" w:rsidRPr="004C4F6D" w:rsidRDefault="00312FC6" w:rsidP="004C4F6D">
      <w:pPr>
        <w:spacing w:after="0" w:line="240" w:lineRule="auto"/>
        <w:jc w:val="both"/>
        <w:rPr>
          <w:rFonts w:ascii="Arial" w:eastAsia="Arial Narrow" w:hAnsi="Arial" w:cs="Arial"/>
        </w:rPr>
      </w:pPr>
    </w:p>
    <w:p w14:paraId="0417F323" w14:textId="77777777" w:rsidR="00E52F96" w:rsidRPr="004C4F6D" w:rsidRDefault="00E52F96"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InstaPay is one of the Automated Clearing Houses (ACHs) under the National Retail Payment System (NRPS) framework adopted by the Bangko Sentral ng Pilipinas (BSP) in CY 2017 which aims to establish a fast, efficient, secure, and reliable retail payment system in the Philippines. The InstaPay is an electronic fund transfer (EFT) service that allows transfer of PHP funds almost instantly between accounts of participating BSP-supervised banks and electronic money issuers. BancNet was the designated Clearing Switch Operator (CSO) of InstaPay tasked to act as the system operator of the clearing system to be used by the Participants and to operate the technical infrastructure for fund transfer and bills payment facilities.</w:t>
      </w:r>
    </w:p>
    <w:p w14:paraId="25D73106" w14:textId="77777777" w:rsidR="00E52F96" w:rsidRPr="004C4F6D" w:rsidRDefault="00E52F96" w:rsidP="004C4F6D">
      <w:pPr>
        <w:pStyle w:val="ListParagraph"/>
        <w:spacing w:after="0" w:line="240" w:lineRule="auto"/>
        <w:ind w:left="0"/>
        <w:jc w:val="both"/>
        <w:rPr>
          <w:rFonts w:ascii="Arial" w:eastAsia="Arial Narrow" w:hAnsi="Arial" w:cs="Arial"/>
          <w:lang w:eastAsia="en-PH"/>
        </w:rPr>
      </w:pPr>
    </w:p>
    <w:p w14:paraId="2A6331A9" w14:textId="30ADF4E4"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The IBFT/InstaPay transactions amounting to P1,732,854.00 </w:t>
      </w:r>
      <w:r w:rsidR="00E52F96" w:rsidRPr="004C4F6D">
        <w:rPr>
          <w:rFonts w:ascii="Arial" w:eastAsia="Arial Narrow" w:hAnsi="Arial" w:cs="Arial"/>
        </w:rPr>
        <w:t>are</w:t>
      </w:r>
      <w:r w:rsidRPr="004C4F6D">
        <w:rPr>
          <w:rFonts w:ascii="Arial" w:eastAsia="Arial Narrow" w:hAnsi="Arial" w:cs="Arial"/>
        </w:rPr>
        <w:t xml:space="preserve"> transactions settled in BancNet but not debited from the account of LBP cardholders, aged </w:t>
      </w:r>
      <w:r w:rsidR="00E52F96" w:rsidRPr="004C4F6D">
        <w:rPr>
          <w:rFonts w:ascii="Arial" w:eastAsia="Arial Narrow" w:hAnsi="Arial" w:cs="Arial"/>
        </w:rPr>
        <w:t xml:space="preserve">one (1) day to over two (2) years </w:t>
      </w:r>
      <w:r w:rsidRPr="004C4F6D">
        <w:rPr>
          <w:rFonts w:ascii="Arial" w:eastAsia="Arial Narrow" w:hAnsi="Arial" w:cs="Arial"/>
        </w:rPr>
        <w:t>and provided with allowance for losses as follows:</w:t>
      </w:r>
    </w:p>
    <w:p w14:paraId="3A74E794" w14:textId="77777777" w:rsidR="00312FC6" w:rsidRPr="004C4F6D" w:rsidRDefault="00312FC6" w:rsidP="004C4F6D">
      <w:pPr>
        <w:pStyle w:val="ListParagraph"/>
        <w:spacing w:after="0" w:line="240" w:lineRule="auto"/>
        <w:ind w:left="0" w:right="195"/>
        <w:jc w:val="both"/>
        <w:rPr>
          <w:rFonts w:ascii="Arial" w:eastAsia="Arial Narrow" w:hAnsi="Arial" w:cs="Arial"/>
        </w:rPr>
      </w:pPr>
    </w:p>
    <w:tbl>
      <w:tblPr>
        <w:tblW w:w="8441" w:type="dxa"/>
        <w:jc w:val="center"/>
        <w:tblLayout w:type="fixed"/>
        <w:tblLook w:val="04A0" w:firstRow="1" w:lastRow="0" w:firstColumn="1" w:lastColumn="0" w:noHBand="0" w:noVBand="1"/>
      </w:tblPr>
      <w:tblGrid>
        <w:gridCol w:w="2834"/>
        <w:gridCol w:w="1890"/>
        <w:gridCol w:w="1800"/>
        <w:gridCol w:w="1917"/>
      </w:tblGrid>
      <w:tr w:rsidR="00312FC6" w:rsidRPr="004C4F6D" w14:paraId="48BC9AD9" w14:textId="77777777" w:rsidTr="002F1504">
        <w:trPr>
          <w:trHeight w:val="485"/>
          <w:jc w:val="center"/>
        </w:trPr>
        <w:tc>
          <w:tcPr>
            <w:tcW w:w="2834" w:type="dxa"/>
            <w:tcBorders>
              <w:top w:val="single" w:sz="4" w:space="0" w:color="000000"/>
              <w:bottom w:val="single" w:sz="4" w:space="0" w:color="000000"/>
            </w:tcBorders>
            <w:vAlign w:val="center"/>
          </w:tcPr>
          <w:p w14:paraId="31E4E1AC" w14:textId="77777777" w:rsidR="00312FC6" w:rsidRPr="004C4F6D" w:rsidRDefault="003919DE" w:rsidP="004C4F6D">
            <w:pPr>
              <w:tabs>
                <w:tab w:val="left" w:pos="567"/>
              </w:tabs>
              <w:spacing w:after="0" w:line="240" w:lineRule="auto"/>
              <w:jc w:val="center"/>
              <w:rPr>
                <w:rFonts w:ascii="Arial" w:eastAsia="Arial Narrow" w:hAnsi="Arial" w:cs="Arial"/>
                <w:b/>
                <w:color w:val="000000"/>
                <w:lang w:eastAsia="en-PH"/>
              </w:rPr>
            </w:pPr>
            <w:r w:rsidRPr="004C4F6D">
              <w:rPr>
                <w:rFonts w:ascii="Arial" w:eastAsia="Arial Narrow" w:hAnsi="Arial" w:cs="Arial"/>
                <w:b/>
                <w:color w:val="000000"/>
                <w:lang w:eastAsia="en-PH"/>
              </w:rPr>
              <w:t>Age</w:t>
            </w:r>
          </w:p>
        </w:tc>
        <w:tc>
          <w:tcPr>
            <w:tcW w:w="1890" w:type="dxa"/>
            <w:tcBorders>
              <w:top w:val="single" w:sz="4" w:space="0" w:color="000000"/>
              <w:bottom w:val="single" w:sz="4" w:space="0" w:color="000000"/>
            </w:tcBorders>
            <w:vAlign w:val="center"/>
          </w:tcPr>
          <w:p w14:paraId="34B25336" w14:textId="77777777" w:rsidR="00312FC6" w:rsidRPr="004C4F6D" w:rsidRDefault="003919DE" w:rsidP="004C4F6D">
            <w:pPr>
              <w:tabs>
                <w:tab w:val="left" w:pos="567"/>
              </w:tabs>
              <w:spacing w:after="0" w:line="240" w:lineRule="auto"/>
              <w:jc w:val="center"/>
              <w:rPr>
                <w:rFonts w:ascii="Arial" w:eastAsia="Arial Narrow" w:hAnsi="Arial" w:cs="Arial"/>
                <w:b/>
                <w:color w:val="000000"/>
                <w:lang w:eastAsia="en-PH"/>
              </w:rPr>
            </w:pPr>
            <w:r w:rsidRPr="004C4F6D">
              <w:rPr>
                <w:rFonts w:ascii="Arial" w:eastAsia="Arial Narrow" w:hAnsi="Arial" w:cs="Arial"/>
                <w:b/>
                <w:color w:val="000000"/>
                <w:lang w:eastAsia="en-PH"/>
              </w:rPr>
              <w:t>Gross Amount</w:t>
            </w:r>
          </w:p>
        </w:tc>
        <w:tc>
          <w:tcPr>
            <w:tcW w:w="1800" w:type="dxa"/>
            <w:tcBorders>
              <w:top w:val="single" w:sz="4" w:space="0" w:color="000000"/>
              <w:bottom w:val="single" w:sz="4" w:space="0" w:color="000000"/>
            </w:tcBorders>
          </w:tcPr>
          <w:p w14:paraId="382EFC49" w14:textId="77777777" w:rsidR="00312FC6" w:rsidRPr="004C4F6D" w:rsidRDefault="003919DE" w:rsidP="004C4F6D">
            <w:pPr>
              <w:tabs>
                <w:tab w:val="left" w:pos="567"/>
              </w:tabs>
              <w:spacing w:after="0" w:line="240" w:lineRule="auto"/>
              <w:jc w:val="center"/>
              <w:rPr>
                <w:rFonts w:ascii="Arial" w:eastAsia="Arial Narrow" w:hAnsi="Arial" w:cs="Arial"/>
                <w:b/>
                <w:color w:val="000000"/>
                <w:lang w:eastAsia="en-PH"/>
              </w:rPr>
            </w:pPr>
            <w:r w:rsidRPr="004C4F6D">
              <w:rPr>
                <w:rFonts w:ascii="Arial" w:eastAsia="Arial Narrow" w:hAnsi="Arial" w:cs="Arial"/>
                <w:b/>
                <w:color w:val="000000"/>
                <w:lang w:eastAsia="en-PH"/>
              </w:rPr>
              <w:t>Allowance for Losses</w:t>
            </w:r>
          </w:p>
        </w:tc>
        <w:tc>
          <w:tcPr>
            <w:tcW w:w="1917" w:type="dxa"/>
            <w:tcBorders>
              <w:top w:val="single" w:sz="4" w:space="0" w:color="000000"/>
              <w:bottom w:val="single" w:sz="4" w:space="0" w:color="000000"/>
            </w:tcBorders>
            <w:vAlign w:val="center"/>
          </w:tcPr>
          <w:p w14:paraId="7D9142CD" w14:textId="77777777" w:rsidR="00312FC6" w:rsidRPr="004C4F6D" w:rsidRDefault="003919DE" w:rsidP="004C4F6D">
            <w:pPr>
              <w:tabs>
                <w:tab w:val="left" w:pos="567"/>
              </w:tabs>
              <w:spacing w:after="0" w:line="240" w:lineRule="auto"/>
              <w:jc w:val="center"/>
              <w:rPr>
                <w:rFonts w:ascii="Arial" w:eastAsia="Arial Narrow" w:hAnsi="Arial" w:cs="Arial"/>
                <w:b/>
                <w:color w:val="000000"/>
                <w:lang w:eastAsia="en-PH"/>
              </w:rPr>
            </w:pPr>
            <w:r w:rsidRPr="004C4F6D">
              <w:rPr>
                <w:rFonts w:ascii="Arial" w:eastAsia="Arial Narrow" w:hAnsi="Arial" w:cs="Arial"/>
                <w:b/>
                <w:color w:val="000000"/>
                <w:lang w:eastAsia="en-PH"/>
              </w:rPr>
              <w:t>Net Balance</w:t>
            </w:r>
          </w:p>
        </w:tc>
      </w:tr>
      <w:tr w:rsidR="00312FC6" w:rsidRPr="004C4F6D" w14:paraId="3D770628" w14:textId="77777777">
        <w:trPr>
          <w:jc w:val="center"/>
        </w:trPr>
        <w:tc>
          <w:tcPr>
            <w:tcW w:w="2834" w:type="dxa"/>
            <w:tcBorders>
              <w:top w:val="single" w:sz="4" w:space="0" w:color="000000"/>
            </w:tcBorders>
          </w:tcPr>
          <w:p w14:paraId="068D51B9" w14:textId="77777777" w:rsidR="00312FC6" w:rsidRPr="004C4F6D" w:rsidRDefault="003919DE" w:rsidP="004C4F6D">
            <w:pPr>
              <w:tabs>
                <w:tab w:val="left" w:pos="567"/>
              </w:tabs>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1 to 30 days</w:t>
            </w:r>
          </w:p>
        </w:tc>
        <w:tc>
          <w:tcPr>
            <w:tcW w:w="1890" w:type="dxa"/>
            <w:tcBorders>
              <w:top w:val="single" w:sz="4" w:space="0" w:color="000000"/>
            </w:tcBorders>
          </w:tcPr>
          <w:p w14:paraId="7684E658" w14:textId="1C98AA51"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 xml:space="preserve">         6,030.00</w:t>
            </w:r>
          </w:p>
        </w:tc>
        <w:tc>
          <w:tcPr>
            <w:tcW w:w="1800" w:type="dxa"/>
            <w:tcBorders>
              <w:top w:val="single" w:sz="4" w:space="0" w:color="000000"/>
            </w:tcBorders>
          </w:tcPr>
          <w:p w14:paraId="6385AA63" w14:textId="27CAB6F3"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 xml:space="preserve">                    0</w:t>
            </w:r>
          </w:p>
        </w:tc>
        <w:tc>
          <w:tcPr>
            <w:tcW w:w="1917" w:type="dxa"/>
            <w:tcBorders>
              <w:top w:val="single" w:sz="4" w:space="0" w:color="000000"/>
            </w:tcBorders>
          </w:tcPr>
          <w:p w14:paraId="19E691E0" w14:textId="26D953BB"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 xml:space="preserve">     6,030.00</w:t>
            </w:r>
          </w:p>
        </w:tc>
      </w:tr>
      <w:tr w:rsidR="00312FC6" w:rsidRPr="004C4F6D" w14:paraId="7E82C778" w14:textId="77777777">
        <w:trPr>
          <w:jc w:val="center"/>
        </w:trPr>
        <w:tc>
          <w:tcPr>
            <w:tcW w:w="2834" w:type="dxa"/>
          </w:tcPr>
          <w:p w14:paraId="1A3406D3" w14:textId="77777777" w:rsidR="00312FC6" w:rsidRPr="004C4F6D" w:rsidRDefault="003919DE" w:rsidP="004C4F6D">
            <w:pPr>
              <w:tabs>
                <w:tab w:val="left" w:pos="567"/>
              </w:tabs>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31 to 360 days</w:t>
            </w:r>
          </w:p>
        </w:tc>
        <w:tc>
          <w:tcPr>
            <w:tcW w:w="1890" w:type="dxa"/>
          </w:tcPr>
          <w:p w14:paraId="58F67B68"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121,098.00</w:t>
            </w:r>
          </w:p>
        </w:tc>
        <w:tc>
          <w:tcPr>
            <w:tcW w:w="1800" w:type="dxa"/>
          </w:tcPr>
          <w:p w14:paraId="02E92BD0"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 xml:space="preserve">     121,098.00</w:t>
            </w:r>
          </w:p>
        </w:tc>
        <w:tc>
          <w:tcPr>
            <w:tcW w:w="1917" w:type="dxa"/>
          </w:tcPr>
          <w:p w14:paraId="464274AC"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0</w:t>
            </w:r>
          </w:p>
        </w:tc>
      </w:tr>
      <w:tr w:rsidR="00312FC6" w:rsidRPr="004C4F6D" w14:paraId="4D3EA471" w14:textId="77777777">
        <w:trPr>
          <w:jc w:val="center"/>
        </w:trPr>
        <w:tc>
          <w:tcPr>
            <w:tcW w:w="2834" w:type="dxa"/>
          </w:tcPr>
          <w:p w14:paraId="7A2B4764" w14:textId="77777777" w:rsidR="00312FC6" w:rsidRPr="004C4F6D" w:rsidRDefault="003919DE" w:rsidP="004C4F6D">
            <w:pPr>
              <w:tabs>
                <w:tab w:val="left" w:pos="567"/>
              </w:tabs>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Over 1 year to 2 years</w:t>
            </w:r>
          </w:p>
        </w:tc>
        <w:tc>
          <w:tcPr>
            <w:tcW w:w="1890" w:type="dxa"/>
          </w:tcPr>
          <w:p w14:paraId="695ED0D2"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476,080.00</w:t>
            </w:r>
          </w:p>
        </w:tc>
        <w:tc>
          <w:tcPr>
            <w:tcW w:w="1800" w:type="dxa"/>
          </w:tcPr>
          <w:p w14:paraId="757DEE1D"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476,080.00</w:t>
            </w:r>
          </w:p>
        </w:tc>
        <w:tc>
          <w:tcPr>
            <w:tcW w:w="1917" w:type="dxa"/>
          </w:tcPr>
          <w:p w14:paraId="7B24C8F7"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0</w:t>
            </w:r>
          </w:p>
        </w:tc>
      </w:tr>
      <w:tr w:rsidR="00312FC6" w:rsidRPr="004C4F6D" w14:paraId="0D522DC7" w14:textId="77777777">
        <w:trPr>
          <w:jc w:val="center"/>
        </w:trPr>
        <w:tc>
          <w:tcPr>
            <w:tcW w:w="2834" w:type="dxa"/>
            <w:tcBorders>
              <w:bottom w:val="single" w:sz="4" w:space="0" w:color="000000"/>
            </w:tcBorders>
          </w:tcPr>
          <w:p w14:paraId="77374E80" w14:textId="77777777" w:rsidR="00312FC6" w:rsidRPr="004C4F6D" w:rsidRDefault="003919DE" w:rsidP="004C4F6D">
            <w:pPr>
              <w:tabs>
                <w:tab w:val="left" w:pos="567"/>
              </w:tabs>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Over 2 years</w:t>
            </w:r>
          </w:p>
        </w:tc>
        <w:tc>
          <w:tcPr>
            <w:tcW w:w="1890" w:type="dxa"/>
            <w:tcBorders>
              <w:bottom w:val="single" w:sz="4" w:space="0" w:color="000000"/>
            </w:tcBorders>
          </w:tcPr>
          <w:p w14:paraId="1FCB8155"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1,129,646.00</w:t>
            </w:r>
          </w:p>
        </w:tc>
        <w:tc>
          <w:tcPr>
            <w:tcW w:w="1800" w:type="dxa"/>
            <w:tcBorders>
              <w:bottom w:val="single" w:sz="4" w:space="0" w:color="000000"/>
            </w:tcBorders>
          </w:tcPr>
          <w:p w14:paraId="5D2D6508"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1,129,646.00</w:t>
            </w:r>
          </w:p>
        </w:tc>
        <w:tc>
          <w:tcPr>
            <w:tcW w:w="1917" w:type="dxa"/>
            <w:tcBorders>
              <w:bottom w:val="single" w:sz="4" w:space="0" w:color="000000"/>
            </w:tcBorders>
          </w:tcPr>
          <w:p w14:paraId="3189C4DD"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0</w:t>
            </w:r>
          </w:p>
        </w:tc>
      </w:tr>
      <w:tr w:rsidR="00312FC6" w:rsidRPr="004C4F6D" w14:paraId="6165CE63" w14:textId="77777777">
        <w:trPr>
          <w:jc w:val="center"/>
        </w:trPr>
        <w:tc>
          <w:tcPr>
            <w:tcW w:w="2834" w:type="dxa"/>
            <w:tcBorders>
              <w:top w:val="single" w:sz="4" w:space="0" w:color="000000"/>
              <w:bottom w:val="double" w:sz="4" w:space="0" w:color="000000"/>
            </w:tcBorders>
          </w:tcPr>
          <w:p w14:paraId="24B2D674" w14:textId="77777777" w:rsidR="00312FC6" w:rsidRPr="004C4F6D" w:rsidRDefault="003919DE" w:rsidP="004C4F6D">
            <w:pPr>
              <w:tabs>
                <w:tab w:val="left" w:pos="567"/>
              </w:tabs>
              <w:spacing w:after="0" w:line="240" w:lineRule="auto"/>
              <w:jc w:val="both"/>
              <w:rPr>
                <w:rFonts w:ascii="Arial" w:eastAsia="Arial Narrow" w:hAnsi="Arial" w:cs="Arial"/>
                <w:b/>
                <w:color w:val="000000"/>
                <w:lang w:eastAsia="en-PH"/>
              </w:rPr>
            </w:pPr>
            <w:r w:rsidRPr="004C4F6D">
              <w:rPr>
                <w:rFonts w:ascii="Arial" w:eastAsia="Arial Narrow" w:hAnsi="Arial" w:cs="Arial"/>
                <w:b/>
                <w:color w:val="000000"/>
                <w:lang w:eastAsia="en-PH"/>
              </w:rPr>
              <w:t>Total</w:t>
            </w:r>
          </w:p>
        </w:tc>
        <w:tc>
          <w:tcPr>
            <w:tcW w:w="1890" w:type="dxa"/>
            <w:tcBorders>
              <w:top w:val="single" w:sz="4" w:space="0" w:color="000000"/>
              <w:bottom w:val="double" w:sz="4" w:space="0" w:color="000000"/>
            </w:tcBorders>
          </w:tcPr>
          <w:p w14:paraId="7BD9EB97" w14:textId="7A6E0366" w:rsidR="00312FC6" w:rsidRPr="004C4F6D" w:rsidRDefault="003919DE" w:rsidP="004C4F6D">
            <w:pPr>
              <w:tabs>
                <w:tab w:val="left" w:pos="567"/>
              </w:tabs>
              <w:spacing w:after="0" w:line="240" w:lineRule="auto"/>
              <w:jc w:val="right"/>
              <w:rPr>
                <w:rFonts w:ascii="Arial" w:eastAsia="Arial Narrow" w:hAnsi="Arial" w:cs="Arial"/>
                <w:b/>
                <w:color w:val="000000"/>
                <w:lang w:eastAsia="en-PH"/>
              </w:rPr>
            </w:pPr>
            <w:r w:rsidRPr="004C4F6D">
              <w:rPr>
                <w:rFonts w:ascii="Arial" w:eastAsia="Arial Narrow" w:hAnsi="Arial" w:cs="Arial"/>
                <w:b/>
                <w:color w:val="000000"/>
                <w:lang w:eastAsia="en-PH"/>
              </w:rPr>
              <w:t xml:space="preserve">  1,732,854.00</w:t>
            </w:r>
          </w:p>
        </w:tc>
        <w:tc>
          <w:tcPr>
            <w:tcW w:w="1800" w:type="dxa"/>
            <w:tcBorders>
              <w:top w:val="single" w:sz="4" w:space="0" w:color="000000"/>
              <w:bottom w:val="double" w:sz="4" w:space="0" w:color="000000"/>
            </w:tcBorders>
          </w:tcPr>
          <w:p w14:paraId="722FFCAF" w14:textId="6985516B" w:rsidR="00312FC6" w:rsidRPr="004C4F6D" w:rsidRDefault="003919DE" w:rsidP="004C4F6D">
            <w:pPr>
              <w:tabs>
                <w:tab w:val="left" w:pos="567"/>
              </w:tabs>
              <w:spacing w:after="0" w:line="240" w:lineRule="auto"/>
              <w:jc w:val="right"/>
              <w:rPr>
                <w:rFonts w:ascii="Arial" w:eastAsia="Arial Narrow" w:hAnsi="Arial" w:cs="Arial"/>
                <w:b/>
                <w:color w:val="000000"/>
                <w:lang w:eastAsia="en-PH"/>
              </w:rPr>
            </w:pPr>
            <w:r w:rsidRPr="004C4F6D">
              <w:rPr>
                <w:rFonts w:ascii="Arial" w:eastAsia="Arial Narrow" w:hAnsi="Arial" w:cs="Arial"/>
                <w:b/>
                <w:color w:val="000000"/>
                <w:lang w:eastAsia="en-PH"/>
              </w:rPr>
              <w:t xml:space="preserve">  1,726,824.00</w:t>
            </w:r>
          </w:p>
        </w:tc>
        <w:tc>
          <w:tcPr>
            <w:tcW w:w="1917" w:type="dxa"/>
            <w:tcBorders>
              <w:top w:val="single" w:sz="4" w:space="0" w:color="000000"/>
              <w:bottom w:val="double" w:sz="4" w:space="0" w:color="000000"/>
            </w:tcBorders>
          </w:tcPr>
          <w:p w14:paraId="35FDB717" w14:textId="3A916F55" w:rsidR="00312FC6" w:rsidRPr="004C4F6D" w:rsidRDefault="003919DE" w:rsidP="004C4F6D">
            <w:pPr>
              <w:tabs>
                <w:tab w:val="left" w:pos="567"/>
              </w:tabs>
              <w:spacing w:after="0" w:line="240" w:lineRule="auto"/>
              <w:jc w:val="right"/>
              <w:rPr>
                <w:rFonts w:ascii="Arial" w:eastAsia="Arial Narrow" w:hAnsi="Arial" w:cs="Arial"/>
                <w:b/>
                <w:color w:val="000000"/>
                <w:lang w:eastAsia="en-PH"/>
              </w:rPr>
            </w:pPr>
            <w:r w:rsidRPr="004C4F6D">
              <w:rPr>
                <w:rFonts w:ascii="Arial" w:eastAsia="Arial Narrow" w:hAnsi="Arial" w:cs="Arial"/>
                <w:b/>
                <w:color w:val="000000"/>
                <w:lang w:eastAsia="en-PH"/>
              </w:rPr>
              <w:t xml:space="preserve">       6,030.00</w:t>
            </w:r>
          </w:p>
        </w:tc>
      </w:tr>
    </w:tbl>
    <w:p w14:paraId="039D430C" w14:textId="77777777" w:rsidR="00312FC6" w:rsidRPr="004C4F6D" w:rsidRDefault="00312FC6" w:rsidP="004C4F6D">
      <w:pPr>
        <w:pStyle w:val="ListParagraph"/>
        <w:spacing w:after="0" w:line="240" w:lineRule="auto"/>
        <w:ind w:left="0" w:right="195"/>
        <w:jc w:val="both"/>
        <w:rPr>
          <w:rFonts w:ascii="Arial" w:eastAsia="Arial Narrow" w:hAnsi="Arial" w:cs="Arial"/>
          <w:lang w:eastAsia="en-PH"/>
        </w:rPr>
      </w:pPr>
    </w:p>
    <w:p w14:paraId="4321CFF1" w14:textId="56F44A28" w:rsidR="00312FC6" w:rsidRDefault="003919DE"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 xml:space="preserve">Review of </w:t>
      </w:r>
      <w:r w:rsidR="000C5727" w:rsidRPr="004C4F6D">
        <w:rPr>
          <w:rFonts w:ascii="Arial" w:eastAsia="Arial Narrow" w:hAnsi="Arial" w:cs="Arial"/>
          <w:lang w:eastAsia="en-PH"/>
        </w:rPr>
        <w:t>s</w:t>
      </w:r>
      <w:r w:rsidRPr="004C4F6D">
        <w:rPr>
          <w:rFonts w:ascii="Arial" w:eastAsia="Arial Narrow" w:hAnsi="Arial" w:cs="Arial"/>
          <w:lang w:eastAsia="en-PH"/>
        </w:rPr>
        <w:t xml:space="preserve">ubsidiary </w:t>
      </w:r>
      <w:r w:rsidR="000C5727" w:rsidRPr="004C4F6D">
        <w:rPr>
          <w:rFonts w:ascii="Arial" w:eastAsia="Arial Narrow" w:hAnsi="Arial" w:cs="Arial"/>
          <w:lang w:eastAsia="en-PH"/>
        </w:rPr>
        <w:t>l</w:t>
      </w:r>
      <w:r w:rsidRPr="004C4F6D">
        <w:rPr>
          <w:rFonts w:ascii="Arial" w:eastAsia="Arial Narrow" w:hAnsi="Arial" w:cs="Arial"/>
          <w:lang w:eastAsia="en-PH"/>
        </w:rPr>
        <w:t xml:space="preserve">edger of A/R-Resident-Others-Various Receivable of AOSD showed that the foregoing fund transfers made by LBP cardholders to other banks through InstaPay were successfully settled with BancNet, thus, were deducted from LBP’s BSP settlement account, but were not deducted from the LBP cardholders’ accounts. AOSD Assistant Department Manager explained that the amounts were supposed to be </w:t>
      </w:r>
      <w:r w:rsidRPr="004C4F6D">
        <w:rPr>
          <w:rFonts w:ascii="Arial" w:eastAsia="Arial Narrow" w:hAnsi="Arial" w:cs="Arial"/>
          <w:lang w:eastAsia="en-PH"/>
        </w:rPr>
        <w:lastRenderedPageBreak/>
        <w:t xml:space="preserve">automatically </w:t>
      </w:r>
      <w:r w:rsidR="00FD3A05" w:rsidRPr="004C4F6D">
        <w:rPr>
          <w:rFonts w:ascii="Arial" w:eastAsia="Arial Narrow" w:hAnsi="Arial" w:cs="Arial"/>
          <w:lang w:eastAsia="en-PH"/>
        </w:rPr>
        <w:t xml:space="preserve">deducted </w:t>
      </w:r>
      <w:r w:rsidRPr="004C4F6D">
        <w:rPr>
          <w:rFonts w:ascii="Arial" w:eastAsia="Arial Narrow" w:hAnsi="Arial" w:cs="Arial"/>
          <w:lang w:eastAsia="en-PH"/>
        </w:rPr>
        <w:t>from the cardholders’ account</w:t>
      </w:r>
      <w:r w:rsidR="00FD3A05" w:rsidRPr="004C4F6D">
        <w:rPr>
          <w:rFonts w:ascii="Arial" w:eastAsia="Arial Narrow" w:hAnsi="Arial" w:cs="Arial"/>
          <w:lang w:eastAsia="en-PH"/>
        </w:rPr>
        <w:t>, h</w:t>
      </w:r>
      <w:r w:rsidRPr="004C4F6D">
        <w:rPr>
          <w:rFonts w:ascii="Arial" w:eastAsia="Arial Narrow" w:hAnsi="Arial" w:cs="Arial"/>
          <w:lang w:eastAsia="en-PH"/>
        </w:rPr>
        <w:t xml:space="preserve">owever, due to system issues/glitch, thus, </w:t>
      </w:r>
      <w:r w:rsidR="00FD3A05" w:rsidRPr="004C4F6D">
        <w:rPr>
          <w:rFonts w:ascii="Arial" w:eastAsia="Arial Narrow" w:hAnsi="Arial" w:cs="Arial"/>
          <w:lang w:eastAsia="en-PH"/>
        </w:rPr>
        <w:t xml:space="preserve">the </w:t>
      </w:r>
      <w:r w:rsidRPr="004C4F6D">
        <w:rPr>
          <w:rFonts w:ascii="Arial" w:eastAsia="Arial Narrow" w:hAnsi="Arial" w:cs="Arial"/>
          <w:lang w:eastAsia="en-PH"/>
        </w:rPr>
        <w:t xml:space="preserve">receivables from cardholders. </w:t>
      </w:r>
    </w:p>
    <w:p w14:paraId="74CDCE4C" w14:textId="77777777" w:rsidR="007C303C" w:rsidRPr="004C4F6D" w:rsidRDefault="007C303C" w:rsidP="007C303C">
      <w:pPr>
        <w:pStyle w:val="ListParagraph"/>
        <w:spacing w:after="0" w:line="240" w:lineRule="auto"/>
        <w:ind w:left="0"/>
        <w:jc w:val="both"/>
        <w:rPr>
          <w:rFonts w:ascii="Arial" w:eastAsia="Arial Narrow" w:hAnsi="Arial" w:cs="Arial"/>
          <w:lang w:eastAsia="en-PH"/>
        </w:rPr>
      </w:pPr>
    </w:p>
    <w:p w14:paraId="5D5E2AF4" w14:textId="2C4562DD" w:rsidR="00312FC6" w:rsidRPr="004C4F6D" w:rsidRDefault="009D6659"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Review f</w:t>
      </w:r>
      <w:r w:rsidR="003919DE" w:rsidRPr="004C4F6D">
        <w:rPr>
          <w:rFonts w:ascii="Arial" w:eastAsia="Arial Narrow" w:hAnsi="Arial" w:cs="Arial"/>
          <w:lang w:eastAsia="en-PH"/>
        </w:rPr>
        <w:t xml:space="preserve">urther disclosed that </w:t>
      </w:r>
      <w:r w:rsidRPr="004C4F6D">
        <w:rPr>
          <w:rFonts w:ascii="Arial" w:eastAsia="Arial Narrow" w:hAnsi="Arial" w:cs="Arial"/>
          <w:lang w:eastAsia="en-PH"/>
        </w:rPr>
        <w:t xml:space="preserve">the Head of AOSD sent </w:t>
      </w:r>
      <w:r w:rsidR="003919DE" w:rsidRPr="004C4F6D">
        <w:rPr>
          <w:rFonts w:ascii="Arial" w:eastAsia="Arial Narrow" w:hAnsi="Arial" w:cs="Arial"/>
          <w:lang w:eastAsia="en-PH"/>
        </w:rPr>
        <w:t>a System Feedback Form (SFF)</w:t>
      </w:r>
      <w:r w:rsidRPr="004C4F6D">
        <w:rPr>
          <w:rFonts w:ascii="Arial" w:eastAsia="Arial Narrow" w:hAnsi="Arial" w:cs="Arial"/>
          <w:lang w:eastAsia="en-PH"/>
        </w:rPr>
        <w:t xml:space="preserve"> </w:t>
      </w:r>
      <w:r w:rsidR="003919DE" w:rsidRPr="004C4F6D">
        <w:rPr>
          <w:rFonts w:ascii="Arial" w:eastAsia="Arial Narrow" w:hAnsi="Arial" w:cs="Arial"/>
          <w:lang w:eastAsia="en-PH"/>
        </w:rPr>
        <w:t xml:space="preserve">to the Application Administrator which is the Digital Banking Management Department (DBMD) </w:t>
      </w:r>
      <w:r w:rsidRPr="004C4F6D">
        <w:rPr>
          <w:rFonts w:ascii="Arial" w:eastAsia="Arial Narrow" w:hAnsi="Arial" w:cs="Arial"/>
          <w:lang w:eastAsia="en-PH"/>
        </w:rPr>
        <w:t>on</w:t>
      </w:r>
      <w:r w:rsidR="003919DE" w:rsidRPr="004C4F6D">
        <w:rPr>
          <w:rFonts w:ascii="Arial" w:eastAsia="Arial Narrow" w:hAnsi="Arial" w:cs="Arial"/>
          <w:lang w:eastAsia="en-PH"/>
        </w:rPr>
        <w:t xml:space="preserve"> October 5, 2020 re</w:t>
      </w:r>
      <w:r w:rsidRPr="004C4F6D">
        <w:rPr>
          <w:rFonts w:ascii="Arial" w:eastAsia="Arial Narrow" w:hAnsi="Arial" w:cs="Arial"/>
          <w:lang w:eastAsia="en-PH"/>
        </w:rPr>
        <w:t>lative to</w:t>
      </w:r>
      <w:r w:rsidR="003919DE" w:rsidRPr="004C4F6D">
        <w:rPr>
          <w:rFonts w:ascii="Arial" w:eastAsia="Arial Narrow" w:hAnsi="Arial" w:cs="Arial"/>
          <w:lang w:eastAsia="en-PH"/>
        </w:rPr>
        <w:t xml:space="preserve"> the large volume of unsuccessful InstaPay transactions (settled with BancNet but not debited to source accounts). However, DBMD only responded </w:t>
      </w:r>
      <w:r w:rsidRPr="004C4F6D">
        <w:rPr>
          <w:rFonts w:ascii="Arial" w:eastAsia="Arial Narrow" w:hAnsi="Arial" w:cs="Arial"/>
          <w:lang w:eastAsia="en-PH"/>
        </w:rPr>
        <w:t>on</w:t>
      </w:r>
      <w:r w:rsidR="003919DE" w:rsidRPr="004C4F6D">
        <w:rPr>
          <w:rFonts w:ascii="Arial" w:eastAsia="Arial Narrow" w:hAnsi="Arial" w:cs="Arial"/>
          <w:lang w:eastAsia="en-PH"/>
        </w:rPr>
        <w:t xml:space="preserve"> January 24, 2023</w:t>
      </w:r>
      <w:r w:rsidRPr="004C4F6D">
        <w:rPr>
          <w:rFonts w:ascii="Arial" w:eastAsia="Arial Narrow" w:hAnsi="Arial" w:cs="Arial"/>
          <w:lang w:eastAsia="en-PH"/>
        </w:rPr>
        <w:t>,</w:t>
      </w:r>
      <w:r w:rsidR="003919DE" w:rsidRPr="004C4F6D">
        <w:rPr>
          <w:rFonts w:ascii="Arial" w:eastAsia="Arial Narrow" w:hAnsi="Arial" w:cs="Arial"/>
          <w:lang w:eastAsia="en-PH"/>
        </w:rPr>
        <w:t xml:space="preserve"> more than two years from the </w:t>
      </w:r>
      <w:r w:rsidRPr="004C4F6D">
        <w:rPr>
          <w:rFonts w:ascii="Arial" w:eastAsia="Arial Narrow" w:hAnsi="Arial" w:cs="Arial"/>
          <w:lang w:eastAsia="en-PH"/>
        </w:rPr>
        <w:t xml:space="preserve">date the </w:t>
      </w:r>
      <w:r w:rsidR="003919DE" w:rsidRPr="004C4F6D">
        <w:rPr>
          <w:rFonts w:ascii="Arial" w:eastAsia="Arial Narrow" w:hAnsi="Arial" w:cs="Arial"/>
          <w:lang w:eastAsia="en-PH"/>
        </w:rPr>
        <w:t>SFF was sent. In its reply, DBMD explained that</w:t>
      </w:r>
      <w:r w:rsidRPr="004C4F6D">
        <w:rPr>
          <w:rFonts w:ascii="Arial" w:eastAsia="Arial Narrow" w:hAnsi="Arial" w:cs="Arial"/>
          <w:lang w:eastAsia="en-PH"/>
        </w:rPr>
        <w:t xml:space="preserve"> the </w:t>
      </w:r>
      <w:r w:rsidR="003919DE" w:rsidRPr="004C4F6D">
        <w:rPr>
          <w:rFonts w:ascii="Arial" w:eastAsia="Arial Narrow" w:hAnsi="Arial" w:cs="Arial"/>
          <w:lang w:eastAsia="en-PH"/>
        </w:rPr>
        <w:t xml:space="preserve">investigation, in coordination with the E-Banking Systems Department (EBSD), a system time-out </w:t>
      </w:r>
      <w:r w:rsidRPr="004C4F6D">
        <w:rPr>
          <w:rFonts w:ascii="Arial" w:eastAsia="Arial Narrow" w:hAnsi="Arial" w:cs="Arial"/>
          <w:lang w:eastAsia="en-PH"/>
        </w:rPr>
        <w:t xml:space="preserve">occurred </w:t>
      </w:r>
      <w:r w:rsidR="003919DE" w:rsidRPr="004C4F6D">
        <w:rPr>
          <w:rFonts w:ascii="Arial" w:eastAsia="Arial Narrow" w:hAnsi="Arial" w:cs="Arial"/>
          <w:lang w:eastAsia="en-PH"/>
        </w:rPr>
        <w:t xml:space="preserve">during crediting </w:t>
      </w:r>
      <w:r w:rsidRPr="004C4F6D">
        <w:rPr>
          <w:rFonts w:ascii="Arial" w:eastAsia="Arial Narrow" w:hAnsi="Arial" w:cs="Arial"/>
          <w:lang w:eastAsia="en-PH"/>
        </w:rPr>
        <w:t xml:space="preserve">of settlement </w:t>
      </w:r>
      <w:r w:rsidR="003919DE" w:rsidRPr="004C4F6D">
        <w:rPr>
          <w:rFonts w:ascii="Arial" w:eastAsia="Arial Narrow" w:hAnsi="Arial" w:cs="Arial"/>
          <w:lang w:eastAsia="en-PH"/>
        </w:rPr>
        <w:t>and the in-house gateway connection was intermittent which caused the reversal of the transaction. It added that an optimization in the credit inquiry job to handle the scenario</w:t>
      </w:r>
      <w:r w:rsidRPr="004C4F6D">
        <w:rPr>
          <w:rFonts w:ascii="Arial" w:eastAsia="Arial Narrow" w:hAnsi="Arial" w:cs="Arial"/>
          <w:lang w:eastAsia="en-PH"/>
        </w:rPr>
        <w:t xml:space="preserve"> was made. </w:t>
      </w:r>
    </w:p>
    <w:p w14:paraId="00A2CB22" w14:textId="77777777" w:rsidR="00312FC6" w:rsidRPr="004C4F6D" w:rsidRDefault="00312FC6" w:rsidP="004C4F6D">
      <w:pPr>
        <w:pStyle w:val="ListParagraph"/>
        <w:spacing w:after="0" w:line="240" w:lineRule="auto"/>
        <w:rPr>
          <w:rFonts w:ascii="Arial" w:eastAsia="Arial Narrow" w:hAnsi="Arial" w:cs="Arial"/>
          <w:lang w:eastAsia="en-PH"/>
        </w:rPr>
      </w:pPr>
    </w:p>
    <w:p w14:paraId="00577E78" w14:textId="4056A0F7" w:rsidR="00312FC6" w:rsidRPr="004C4F6D" w:rsidRDefault="00281F6C"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Moreover, review</w:t>
      </w:r>
      <w:r w:rsidR="003919DE" w:rsidRPr="004C4F6D">
        <w:rPr>
          <w:rFonts w:ascii="Arial" w:eastAsia="Arial Narrow" w:hAnsi="Arial" w:cs="Arial"/>
          <w:lang w:eastAsia="en-PH"/>
        </w:rPr>
        <w:t xml:space="preserve"> noted that the system issue persist</w:t>
      </w:r>
      <w:r w:rsidR="00401ACC" w:rsidRPr="004C4F6D">
        <w:rPr>
          <w:rFonts w:ascii="Arial" w:eastAsia="Arial Narrow" w:hAnsi="Arial" w:cs="Arial"/>
          <w:lang w:eastAsia="en-PH"/>
        </w:rPr>
        <w:t>s</w:t>
      </w:r>
      <w:r w:rsidR="003919DE" w:rsidRPr="004C4F6D">
        <w:rPr>
          <w:rFonts w:ascii="Arial" w:eastAsia="Arial Narrow" w:hAnsi="Arial" w:cs="Arial"/>
          <w:lang w:eastAsia="en-PH"/>
        </w:rPr>
        <w:t xml:space="preserve"> as of January 2023 based on AOSD Schedule of A</w:t>
      </w:r>
      <w:r w:rsidR="00527BB1" w:rsidRPr="004C4F6D">
        <w:rPr>
          <w:rFonts w:ascii="Arial" w:eastAsia="Arial Narrow" w:hAnsi="Arial" w:cs="Arial"/>
          <w:lang w:eastAsia="en-PH"/>
        </w:rPr>
        <w:t>/R</w:t>
      </w:r>
      <w:r w:rsidR="003919DE" w:rsidRPr="004C4F6D">
        <w:rPr>
          <w:rFonts w:ascii="Arial" w:eastAsia="Arial Narrow" w:hAnsi="Arial" w:cs="Arial"/>
          <w:lang w:eastAsia="en-PH"/>
        </w:rPr>
        <w:t xml:space="preserve"> as of January 31, 2023 which showed instances of InstaPay transactions settled with BancNet but not debited from cardholders on January 5 and 13 amounting to P4,100.00 each. It was noted that there were no other contingency measures to reverse the receivable immediately when the system was not functioning effectively (e.g. manual adjustment/debiting of cardholders’ account).</w:t>
      </w:r>
    </w:p>
    <w:p w14:paraId="379B6E07" w14:textId="77777777" w:rsidR="00312FC6" w:rsidRPr="004C4F6D" w:rsidRDefault="00312FC6" w:rsidP="004C4F6D">
      <w:pPr>
        <w:pStyle w:val="ListParagraph"/>
        <w:spacing w:after="0" w:line="240" w:lineRule="auto"/>
        <w:rPr>
          <w:rFonts w:ascii="Arial" w:eastAsia="Arial Narrow" w:hAnsi="Arial" w:cs="Arial"/>
          <w:lang w:eastAsia="en-PH"/>
        </w:rPr>
      </w:pPr>
    </w:p>
    <w:p w14:paraId="60D8DCDE" w14:textId="426A9EF2"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 xml:space="preserve">The AOSD Assistant Department Manager informed that Debit Advices </w:t>
      </w:r>
      <w:r w:rsidR="00AF0647" w:rsidRPr="004C4F6D">
        <w:rPr>
          <w:rFonts w:ascii="Arial" w:eastAsia="Arial Narrow" w:hAnsi="Arial" w:cs="Arial"/>
          <w:lang w:eastAsia="en-PH"/>
        </w:rPr>
        <w:t xml:space="preserve">were issued </w:t>
      </w:r>
      <w:r w:rsidRPr="004C4F6D">
        <w:rPr>
          <w:rFonts w:ascii="Arial" w:eastAsia="Arial Narrow" w:hAnsi="Arial" w:cs="Arial"/>
          <w:lang w:eastAsia="en-PH"/>
        </w:rPr>
        <w:t>and requested clients’ Branch of Account (BOA) to facilitate debiting of account to reverse the A</w:t>
      </w:r>
      <w:r w:rsidR="00527BB1" w:rsidRPr="004C4F6D">
        <w:rPr>
          <w:rFonts w:ascii="Arial" w:eastAsia="Arial Narrow" w:hAnsi="Arial" w:cs="Arial"/>
          <w:lang w:eastAsia="en-PH"/>
        </w:rPr>
        <w:t>/R</w:t>
      </w:r>
      <w:r w:rsidRPr="004C4F6D">
        <w:rPr>
          <w:rFonts w:ascii="Arial" w:eastAsia="Arial Narrow" w:hAnsi="Arial" w:cs="Arial"/>
          <w:lang w:eastAsia="en-PH"/>
        </w:rPr>
        <w:t xml:space="preserve">. However, this still depends on the cardholder’s available account balance and </w:t>
      </w:r>
      <w:r w:rsidR="00AF0647" w:rsidRPr="004C4F6D">
        <w:rPr>
          <w:rFonts w:ascii="Arial" w:eastAsia="Arial Narrow" w:hAnsi="Arial" w:cs="Arial"/>
          <w:lang w:eastAsia="en-PH"/>
        </w:rPr>
        <w:t>approval</w:t>
      </w:r>
      <w:r w:rsidRPr="004C4F6D">
        <w:rPr>
          <w:rFonts w:ascii="Arial" w:eastAsia="Arial Narrow" w:hAnsi="Arial" w:cs="Arial"/>
          <w:lang w:eastAsia="en-PH"/>
        </w:rPr>
        <w:t>.</w:t>
      </w:r>
      <w:r w:rsidR="00083CC2" w:rsidRPr="004C4F6D">
        <w:rPr>
          <w:rFonts w:ascii="Arial" w:eastAsia="Arial Narrow" w:hAnsi="Arial" w:cs="Arial"/>
          <w:lang w:eastAsia="en-PH"/>
        </w:rPr>
        <w:t xml:space="preserve"> It was</w:t>
      </w:r>
      <w:r w:rsidRPr="004C4F6D">
        <w:rPr>
          <w:rFonts w:ascii="Arial" w:eastAsia="Arial Narrow" w:hAnsi="Arial" w:cs="Arial"/>
          <w:lang w:eastAsia="en-PH"/>
        </w:rPr>
        <w:t xml:space="preserve"> added that follow-ups are being made regularly but the account has either no balance, closed or client can no longer be contacted. </w:t>
      </w:r>
      <w:r w:rsidR="00F00826" w:rsidRPr="004C4F6D">
        <w:rPr>
          <w:rFonts w:ascii="Arial" w:eastAsia="Arial Narrow" w:hAnsi="Arial" w:cs="Arial"/>
          <w:lang w:eastAsia="en-PH"/>
        </w:rPr>
        <w:t xml:space="preserve">It </w:t>
      </w:r>
      <w:r w:rsidR="00B33092" w:rsidRPr="004C4F6D">
        <w:rPr>
          <w:rFonts w:ascii="Arial" w:eastAsia="Arial Narrow" w:hAnsi="Arial" w:cs="Arial"/>
          <w:lang w:eastAsia="en-PH"/>
        </w:rPr>
        <w:t xml:space="preserve">was </w:t>
      </w:r>
      <w:r w:rsidR="00F00826" w:rsidRPr="004C4F6D">
        <w:rPr>
          <w:rFonts w:ascii="Arial" w:eastAsia="Arial Narrow" w:hAnsi="Arial" w:cs="Arial"/>
          <w:lang w:eastAsia="en-PH"/>
        </w:rPr>
        <w:t>further</w:t>
      </w:r>
      <w:r w:rsidRPr="004C4F6D">
        <w:rPr>
          <w:rFonts w:ascii="Arial" w:eastAsia="Arial Narrow" w:hAnsi="Arial" w:cs="Arial"/>
          <w:lang w:eastAsia="en-PH"/>
        </w:rPr>
        <w:t xml:space="preserve"> informed that these receivables will be requested for write-off subject to approval and ex</w:t>
      </w:r>
      <w:r w:rsidR="000B3C59">
        <w:rPr>
          <w:rFonts w:ascii="Arial" w:eastAsia="Arial Narrow" w:hAnsi="Arial" w:cs="Arial"/>
          <w:lang w:eastAsia="en-PH"/>
        </w:rPr>
        <w:t>isting Bank’s accounting rules/</w:t>
      </w:r>
      <w:r w:rsidRPr="004C4F6D">
        <w:rPr>
          <w:rFonts w:ascii="Arial" w:eastAsia="Arial Narrow" w:hAnsi="Arial" w:cs="Arial"/>
          <w:lang w:eastAsia="en-PH"/>
        </w:rPr>
        <w:t>procedures.</w:t>
      </w:r>
    </w:p>
    <w:p w14:paraId="7A9E0850" w14:textId="77777777" w:rsidR="00312FC6" w:rsidRPr="004C4F6D" w:rsidRDefault="00312FC6" w:rsidP="004C4F6D">
      <w:pPr>
        <w:pStyle w:val="ListParagraph"/>
        <w:spacing w:after="0" w:line="240" w:lineRule="auto"/>
        <w:rPr>
          <w:rFonts w:ascii="Arial" w:eastAsia="Arial Narrow" w:hAnsi="Arial" w:cs="Arial"/>
          <w:lang w:eastAsia="en-PH"/>
        </w:rPr>
      </w:pPr>
    </w:p>
    <w:p w14:paraId="1BB1D2D6" w14:textId="6A7EB943"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 xml:space="preserve">The limitations to immediately respond and resolve system issue/glitch through remedial steps (manual/procedural solution) or work-around procedures is not consistent with Section D.1.b of LBP Executive Order No. 088, resulting </w:t>
      </w:r>
      <w:r w:rsidR="00083CC2" w:rsidRPr="004C4F6D">
        <w:rPr>
          <w:rFonts w:ascii="Arial" w:eastAsia="Arial Narrow" w:hAnsi="Arial" w:cs="Arial"/>
          <w:lang w:eastAsia="en-PH"/>
        </w:rPr>
        <w:t>in</w:t>
      </w:r>
      <w:r w:rsidRPr="004C4F6D">
        <w:rPr>
          <w:rFonts w:ascii="Arial" w:eastAsia="Arial Narrow" w:hAnsi="Arial" w:cs="Arial"/>
          <w:lang w:eastAsia="en-PH"/>
        </w:rPr>
        <w:t xml:space="preserve"> accumulation of P1,732,854.00 </w:t>
      </w:r>
      <w:r w:rsidR="00527BB1" w:rsidRPr="004C4F6D">
        <w:rPr>
          <w:rFonts w:ascii="Arial" w:eastAsia="Arial Narrow" w:hAnsi="Arial" w:cs="Arial"/>
          <w:lang w:eastAsia="en-PH"/>
        </w:rPr>
        <w:t>A/R</w:t>
      </w:r>
      <w:r w:rsidRPr="004C4F6D">
        <w:rPr>
          <w:rFonts w:ascii="Arial" w:eastAsia="Arial Narrow" w:hAnsi="Arial" w:cs="Arial"/>
          <w:lang w:eastAsia="en-PH"/>
        </w:rPr>
        <w:t>, P1,726,824.00 or 99.65</w:t>
      </w:r>
      <w:r w:rsidR="00527BB1" w:rsidRPr="004C4F6D">
        <w:rPr>
          <w:rFonts w:ascii="Arial" w:eastAsia="Arial Narrow" w:hAnsi="Arial" w:cs="Arial"/>
          <w:lang w:eastAsia="en-PH"/>
        </w:rPr>
        <w:t xml:space="preserve"> per cent</w:t>
      </w:r>
      <w:r w:rsidRPr="004C4F6D">
        <w:rPr>
          <w:rFonts w:ascii="Arial" w:eastAsia="Arial Narrow" w:hAnsi="Arial" w:cs="Arial"/>
          <w:lang w:eastAsia="en-PH"/>
        </w:rPr>
        <w:t xml:space="preserve"> of which has been provided 100</w:t>
      </w:r>
      <w:r w:rsidR="00083CC2" w:rsidRPr="004C4F6D">
        <w:rPr>
          <w:rFonts w:ascii="Arial" w:eastAsia="Arial Narrow" w:hAnsi="Arial" w:cs="Arial"/>
          <w:lang w:eastAsia="en-PH"/>
        </w:rPr>
        <w:t xml:space="preserve"> per cent</w:t>
      </w:r>
      <w:r w:rsidRPr="004C4F6D">
        <w:rPr>
          <w:rFonts w:ascii="Arial" w:eastAsia="Arial Narrow" w:hAnsi="Arial" w:cs="Arial"/>
          <w:lang w:eastAsia="en-PH"/>
        </w:rPr>
        <w:t xml:space="preserve"> allowance for probable losses for being outstanding for 30 days to over two years as of December 31, 2022. </w:t>
      </w:r>
    </w:p>
    <w:p w14:paraId="349BDB6B" w14:textId="77777777" w:rsidR="00FB148C" w:rsidRPr="004C4F6D" w:rsidRDefault="00FB148C" w:rsidP="004C4F6D">
      <w:pPr>
        <w:spacing w:after="0" w:line="240" w:lineRule="auto"/>
        <w:ind w:right="195"/>
        <w:jc w:val="both"/>
        <w:rPr>
          <w:rFonts w:ascii="Arial" w:eastAsia="Arial Narrow" w:hAnsi="Arial" w:cs="Arial"/>
          <w:lang w:eastAsia="en-PH"/>
        </w:rPr>
      </w:pPr>
    </w:p>
    <w:p w14:paraId="54D9E208" w14:textId="1A962745" w:rsidR="00312FC6" w:rsidRPr="004C4F6D" w:rsidRDefault="003919DE" w:rsidP="004C4F6D">
      <w:pPr>
        <w:pStyle w:val="ListParagraph"/>
        <w:spacing w:after="0" w:line="240" w:lineRule="auto"/>
        <w:ind w:left="0" w:right="195"/>
        <w:jc w:val="both"/>
        <w:rPr>
          <w:rFonts w:ascii="Arial" w:eastAsia="Arial Narrow" w:hAnsi="Arial" w:cs="Arial"/>
          <w:b/>
          <w:lang w:eastAsia="en-PH"/>
        </w:rPr>
      </w:pPr>
      <w:r w:rsidRPr="004C4F6D">
        <w:rPr>
          <w:rFonts w:ascii="Arial" w:eastAsia="Arial Narrow" w:hAnsi="Arial" w:cs="Arial"/>
          <w:b/>
          <w:i/>
          <w:lang w:eastAsia="en-PH"/>
        </w:rPr>
        <w:t xml:space="preserve">BancNet Charge Slip Issued Against LBP </w:t>
      </w:r>
      <w:r w:rsidR="00527BB1" w:rsidRPr="004C4F6D">
        <w:rPr>
          <w:rFonts w:ascii="Arial" w:eastAsia="Arial Narrow" w:hAnsi="Arial" w:cs="Arial"/>
          <w:b/>
          <w:i/>
          <w:lang w:eastAsia="en-PH"/>
        </w:rPr>
        <w:t>amounting</w:t>
      </w:r>
      <w:r w:rsidRPr="004C4F6D">
        <w:rPr>
          <w:rFonts w:ascii="Arial" w:eastAsia="Arial Narrow" w:hAnsi="Arial" w:cs="Arial"/>
          <w:b/>
          <w:i/>
          <w:lang w:eastAsia="en-PH"/>
        </w:rPr>
        <w:t xml:space="preserve"> P4,966,381.00</w:t>
      </w:r>
    </w:p>
    <w:p w14:paraId="45C12DF0" w14:textId="77777777" w:rsidR="00312FC6" w:rsidRPr="004C4F6D" w:rsidRDefault="00312FC6" w:rsidP="004C4F6D">
      <w:pPr>
        <w:tabs>
          <w:tab w:val="left" w:pos="567"/>
        </w:tabs>
        <w:spacing w:after="0" w:line="240" w:lineRule="auto"/>
        <w:jc w:val="both"/>
        <w:rPr>
          <w:rFonts w:ascii="Arial" w:eastAsia="Arial Narrow" w:hAnsi="Arial" w:cs="Arial"/>
          <w:color w:val="000000"/>
          <w:u w:val="single"/>
          <w:lang w:eastAsia="en-PH"/>
        </w:rPr>
      </w:pPr>
    </w:p>
    <w:p w14:paraId="1F0C32A5" w14:textId="314D0B70" w:rsidR="00312FC6" w:rsidRPr="004C4F6D" w:rsidRDefault="00FB0A05"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T</w:t>
      </w:r>
      <w:r w:rsidR="003919DE" w:rsidRPr="004C4F6D">
        <w:rPr>
          <w:rFonts w:ascii="Arial" w:eastAsia="Arial Narrow" w:hAnsi="Arial" w:cs="Arial"/>
          <w:lang w:eastAsia="en-PH"/>
        </w:rPr>
        <w:t>he Accounts Receivable arising from Charge Slip Issued Against LBP amounting to P4,966,381.00 pertained to charges made by BancNet to LBP’s settlement account after the lapse of the Turn-Around-Time (TAT) in responding to complaints against LBP. The balance is aged and provided with allowance for losses as follows:</w:t>
      </w:r>
    </w:p>
    <w:p w14:paraId="31FFB158" w14:textId="77777777" w:rsidR="00312FC6" w:rsidRPr="004C4F6D" w:rsidRDefault="00312FC6" w:rsidP="004C4F6D">
      <w:pPr>
        <w:pStyle w:val="ListParagraph"/>
        <w:spacing w:after="0" w:line="240" w:lineRule="auto"/>
        <w:ind w:left="0" w:right="195"/>
        <w:jc w:val="both"/>
        <w:rPr>
          <w:rFonts w:ascii="Arial" w:eastAsia="Arial Narrow" w:hAnsi="Arial" w:cs="Arial"/>
          <w:lang w:eastAsia="en-PH"/>
        </w:rPr>
      </w:pPr>
    </w:p>
    <w:tbl>
      <w:tblPr>
        <w:tblW w:w="8556" w:type="dxa"/>
        <w:jc w:val="center"/>
        <w:tblLayout w:type="fixed"/>
        <w:tblLook w:val="04A0" w:firstRow="1" w:lastRow="0" w:firstColumn="1" w:lastColumn="0" w:noHBand="0" w:noVBand="1"/>
      </w:tblPr>
      <w:tblGrid>
        <w:gridCol w:w="2430"/>
        <w:gridCol w:w="1842"/>
        <w:gridCol w:w="2478"/>
        <w:gridCol w:w="1806"/>
      </w:tblGrid>
      <w:tr w:rsidR="00312FC6" w:rsidRPr="004C4F6D" w14:paraId="4A1E24B1" w14:textId="77777777" w:rsidTr="002F1504">
        <w:trPr>
          <w:tblHeader/>
          <w:jc w:val="center"/>
        </w:trPr>
        <w:tc>
          <w:tcPr>
            <w:tcW w:w="2430" w:type="dxa"/>
            <w:tcBorders>
              <w:top w:val="single" w:sz="4" w:space="0" w:color="000000"/>
              <w:bottom w:val="single" w:sz="4" w:space="0" w:color="000000"/>
            </w:tcBorders>
          </w:tcPr>
          <w:p w14:paraId="394348CC" w14:textId="77777777" w:rsidR="00312FC6" w:rsidRPr="004C4F6D" w:rsidRDefault="003919DE" w:rsidP="004C4F6D">
            <w:pPr>
              <w:tabs>
                <w:tab w:val="left" w:pos="567"/>
              </w:tabs>
              <w:spacing w:after="0" w:line="240" w:lineRule="auto"/>
              <w:jc w:val="both"/>
              <w:rPr>
                <w:rFonts w:ascii="Arial" w:eastAsia="Arial Narrow" w:hAnsi="Arial" w:cs="Arial"/>
                <w:b/>
                <w:color w:val="000000"/>
                <w:lang w:eastAsia="en-PH"/>
              </w:rPr>
            </w:pPr>
            <w:r w:rsidRPr="004C4F6D">
              <w:rPr>
                <w:rFonts w:ascii="Arial" w:eastAsia="Arial Narrow" w:hAnsi="Arial" w:cs="Arial"/>
                <w:b/>
                <w:color w:val="000000"/>
                <w:lang w:eastAsia="en-PH"/>
              </w:rPr>
              <w:tab/>
              <w:t>Age</w:t>
            </w:r>
          </w:p>
        </w:tc>
        <w:tc>
          <w:tcPr>
            <w:tcW w:w="1842" w:type="dxa"/>
            <w:tcBorders>
              <w:top w:val="single" w:sz="4" w:space="0" w:color="000000"/>
              <w:bottom w:val="single" w:sz="4" w:space="0" w:color="000000"/>
            </w:tcBorders>
          </w:tcPr>
          <w:p w14:paraId="654C8D0E" w14:textId="77777777" w:rsidR="00312FC6" w:rsidRPr="004C4F6D" w:rsidRDefault="003919DE" w:rsidP="004C4F6D">
            <w:pPr>
              <w:tabs>
                <w:tab w:val="left" w:pos="567"/>
              </w:tabs>
              <w:spacing w:after="0" w:line="240" w:lineRule="auto"/>
              <w:jc w:val="center"/>
              <w:rPr>
                <w:rFonts w:ascii="Arial" w:eastAsia="Arial Narrow" w:hAnsi="Arial" w:cs="Arial"/>
                <w:b/>
                <w:color w:val="000000"/>
                <w:lang w:eastAsia="en-PH"/>
              </w:rPr>
            </w:pPr>
            <w:r w:rsidRPr="004C4F6D">
              <w:rPr>
                <w:rFonts w:ascii="Arial" w:eastAsia="Arial Narrow" w:hAnsi="Arial" w:cs="Arial"/>
                <w:b/>
                <w:color w:val="000000"/>
                <w:lang w:eastAsia="en-PH"/>
              </w:rPr>
              <w:t>Gross Amount</w:t>
            </w:r>
          </w:p>
        </w:tc>
        <w:tc>
          <w:tcPr>
            <w:tcW w:w="2478" w:type="dxa"/>
            <w:tcBorders>
              <w:top w:val="single" w:sz="4" w:space="0" w:color="000000"/>
              <w:bottom w:val="single" w:sz="4" w:space="0" w:color="000000"/>
            </w:tcBorders>
          </w:tcPr>
          <w:p w14:paraId="44CC2ED9" w14:textId="77777777" w:rsidR="00312FC6" w:rsidRPr="004C4F6D" w:rsidRDefault="003919DE" w:rsidP="004C4F6D">
            <w:pPr>
              <w:tabs>
                <w:tab w:val="left" w:pos="567"/>
              </w:tabs>
              <w:spacing w:after="0" w:line="240" w:lineRule="auto"/>
              <w:jc w:val="center"/>
              <w:rPr>
                <w:rFonts w:ascii="Arial" w:eastAsia="Arial Narrow" w:hAnsi="Arial" w:cs="Arial"/>
                <w:b/>
                <w:color w:val="000000"/>
                <w:lang w:eastAsia="en-PH"/>
              </w:rPr>
            </w:pPr>
            <w:r w:rsidRPr="004C4F6D">
              <w:rPr>
                <w:rFonts w:ascii="Arial" w:eastAsia="Arial Narrow" w:hAnsi="Arial" w:cs="Arial"/>
                <w:b/>
                <w:color w:val="000000"/>
                <w:lang w:eastAsia="en-PH"/>
              </w:rPr>
              <w:t>Allowance for Losses</w:t>
            </w:r>
          </w:p>
        </w:tc>
        <w:tc>
          <w:tcPr>
            <w:tcW w:w="1806" w:type="dxa"/>
            <w:tcBorders>
              <w:top w:val="single" w:sz="4" w:space="0" w:color="000000"/>
              <w:bottom w:val="single" w:sz="4" w:space="0" w:color="000000"/>
            </w:tcBorders>
          </w:tcPr>
          <w:p w14:paraId="682E0FB9" w14:textId="77777777" w:rsidR="00312FC6" w:rsidRPr="004C4F6D" w:rsidRDefault="003919DE" w:rsidP="004C4F6D">
            <w:pPr>
              <w:tabs>
                <w:tab w:val="left" w:pos="567"/>
              </w:tabs>
              <w:spacing w:after="0" w:line="240" w:lineRule="auto"/>
              <w:jc w:val="center"/>
              <w:rPr>
                <w:rFonts w:ascii="Arial" w:eastAsia="Arial Narrow" w:hAnsi="Arial" w:cs="Arial"/>
                <w:b/>
                <w:color w:val="000000"/>
                <w:lang w:eastAsia="en-PH"/>
              </w:rPr>
            </w:pPr>
            <w:r w:rsidRPr="004C4F6D">
              <w:rPr>
                <w:rFonts w:ascii="Arial" w:eastAsia="Arial Narrow" w:hAnsi="Arial" w:cs="Arial"/>
                <w:b/>
                <w:color w:val="000000"/>
                <w:lang w:eastAsia="en-PH"/>
              </w:rPr>
              <w:t>Net Balance</w:t>
            </w:r>
          </w:p>
        </w:tc>
      </w:tr>
      <w:tr w:rsidR="00312FC6" w:rsidRPr="004C4F6D" w14:paraId="5CDA7EFF" w14:textId="77777777" w:rsidTr="002F1504">
        <w:trPr>
          <w:jc w:val="center"/>
        </w:trPr>
        <w:tc>
          <w:tcPr>
            <w:tcW w:w="2430" w:type="dxa"/>
            <w:tcBorders>
              <w:top w:val="single" w:sz="4" w:space="0" w:color="000000"/>
            </w:tcBorders>
          </w:tcPr>
          <w:p w14:paraId="01727724" w14:textId="77777777" w:rsidR="00312FC6" w:rsidRPr="004C4F6D" w:rsidRDefault="003919DE" w:rsidP="004C4F6D">
            <w:pPr>
              <w:tabs>
                <w:tab w:val="left" w:pos="567"/>
              </w:tabs>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1 to 30 days</w:t>
            </w:r>
          </w:p>
        </w:tc>
        <w:tc>
          <w:tcPr>
            <w:tcW w:w="1842" w:type="dxa"/>
            <w:tcBorders>
              <w:top w:val="single" w:sz="4" w:space="0" w:color="000000"/>
            </w:tcBorders>
          </w:tcPr>
          <w:p w14:paraId="1F515594" w14:textId="73BC8F9E"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 xml:space="preserve">  3,745,109.00</w:t>
            </w:r>
          </w:p>
        </w:tc>
        <w:tc>
          <w:tcPr>
            <w:tcW w:w="2478" w:type="dxa"/>
            <w:tcBorders>
              <w:top w:val="single" w:sz="4" w:space="0" w:color="000000"/>
            </w:tcBorders>
          </w:tcPr>
          <w:p w14:paraId="0E4CDCC5" w14:textId="23DE88A0"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 xml:space="preserve">                      0</w:t>
            </w:r>
          </w:p>
        </w:tc>
        <w:tc>
          <w:tcPr>
            <w:tcW w:w="1806" w:type="dxa"/>
            <w:tcBorders>
              <w:top w:val="single" w:sz="4" w:space="0" w:color="000000"/>
            </w:tcBorders>
          </w:tcPr>
          <w:p w14:paraId="35BE33EB" w14:textId="2B2C2F14"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 xml:space="preserve">   3,745,109.00</w:t>
            </w:r>
          </w:p>
        </w:tc>
      </w:tr>
      <w:tr w:rsidR="00312FC6" w:rsidRPr="004C4F6D" w14:paraId="5F1C00AA" w14:textId="77777777" w:rsidTr="002F1504">
        <w:trPr>
          <w:jc w:val="center"/>
        </w:trPr>
        <w:tc>
          <w:tcPr>
            <w:tcW w:w="2430" w:type="dxa"/>
          </w:tcPr>
          <w:p w14:paraId="4546DCD8" w14:textId="77777777" w:rsidR="00312FC6" w:rsidRPr="004C4F6D" w:rsidRDefault="003919DE" w:rsidP="004C4F6D">
            <w:pPr>
              <w:tabs>
                <w:tab w:val="left" w:pos="567"/>
              </w:tabs>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31 to 90 days</w:t>
            </w:r>
          </w:p>
        </w:tc>
        <w:tc>
          <w:tcPr>
            <w:tcW w:w="1842" w:type="dxa"/>
          </w:tcPr>
          <w:p w14:paraId="4A932D00"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905,540.00</w:t>
            </w:r>
          </w:p>
        </w:tc>
        <w:tc>
          <w:tcPr>
            <w:tcW w:w="2478" w:type="dxa"/>
          </w:tcPr>
          <w:p w14:paraId="0B322D5F"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114,188.59</w:t>
            </w:r>
          </w:p>
        </w:tc>
        <w:tc>
          <w:tcPr>
            <w:tcW w:w="1806" w:type="dxa"/>
          </w:tcPr>
          <w:p w14:paraId="1F035D38"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791,351.41</w:t>
            </w:r>
          </w:p>
        </w:tc>
      </w:tr>
      <w:tr w:rsidR="00312FC6" w:rsidRPr="004C4F6D" w14:paraId="35C66E29" w14:textId="77777777" w:rsidTr="002F1504">
        <w:trPr>
          <w:jc w:val="center"/>
        </w:trPr>
        <w:tc>
          <w:tcPr>
            <w:tcW w:w="2430" w:type="dxa"/>
          </w:tcPr>
          <w:p w14:paraId="505252FF" w14:textId="77777777" w:rsidR="00312FC6" w:rsidRPr="004C4F6D" w:rsidRDefault="003919DE" w:rsidP="004C4F6D">
            <w:pPr>
              <w:tabs>
                <w:tab w:val="left" w:pos="567"/>
              </w:tabs>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91 to 360 days</w:t>
            </w:r>
          </w:p>
        </w:tc>
        <w:tc>
          <w:tcPr>
            <w:tcW w:w="1842" w:type="dxa"/>
          </w:tcPr>
          <w:p w14:paraId="0146E74B"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261,526.00</w:t>
            </w:r>
          </w:p>
        </w:tc>
        <w:tc>
          <w:tcPr>
            <w:tcW w:w="2478" w:type="dxa"/>
          </w:tcPr>
          <w:p w14:paraId="1823D5E1"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261,526.00</w:t>
            </w:r>
          </w:p>
        </w:tc>
        <w:tc>
          <w:tcPr>
            <w:tcW w:w="1806" w:type="dxa"/>
          </w:tcPr>
          <w:p w14:paraId="31D0E3F8"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0</w:t>
            </w:r>
          </w:p>
        </w:tc>
      </w:tr>
      <w:tr w:rsidR="00312FC6" w:rsidRPr="004C4F6D" w14:paraId="2C13909E" w14:textId="77777777" w:rsidTr="002F1504">
        <w:trPr>
          <w:jc w:val="center"/>
        </w:trPr>
        <w:tc>
          <w:tcPr>
            <w:tcW w:w="2430" w:type="dxa"/>
          </w:tcPr>
          <w:p w14:paraId="187CDA8D" w14:textId="77777777" w:rsidR="00312FC6" w:rsidRPr="004C4F6D" w:rsidRDefault="003919DE" w:rsidP="004C4F6D">
            <w:pPr>
              <w:tabs>
                <w:tab w:val="left" w:pos="567"/>
              </w:tabs>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Over 1 year to 2 years</w:t>
            </w:r>
          </w:p>
        </w:tc>
        <w:tc>
          <w:tcPr>
            <w:tcW w:w="1842" w:type="dxa"/>
          </w:tcPr>
          <w:p w14:paraId="08D8FF22"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43,886.00</w:t>
            </w:r>
          </w:p>
        </w:tc>
        <w:tc>
          <w:tcPr>
            <w:tcW w:w="2478" w:type="dxa"/>
          </w:tcPr>
          <w:p w14:paraId="07C07FC4"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43,886.00</w:t>
            </w:r>
          </w:p>
        </w:tc>
        <w:tc>
          <w:tcPr>
            <w:tcW w:w="1806" w:type="dxa"/>
          </w:tcPr>
          <w:p w14:paraId="7EF22F75"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0</w:t>
            </w:r>
          </w:p>
        </w:tc>
      </w:tr>
      <w:tr w:rsidR="00312FC6" w:rsidRPr="004C4F6D" w14:paraId="076430CA" w14:textId="77777777" w:rsidTr="002F1504">
        <w:trPr>
          <w:jc w:val="center"/>
        </w:trPr>
        <w:tc>
          <w:tcPr>
            <w:tcW w:w="2430" w:type="dxa"/>
            <w:tcBorders>
              <w:bottom w:val="single" w:sz="4" w:space="0" w:color="000000"/>
            </w:tcBorders>
          </w:tcPr>
          <w:p w14:paraId="059FD3A5" w14:textId="77777777" w:rsidR="00312FC6" w:rsidRPr="004C4F6D" w:rsidRDefault="003919DE" w:rsidP="004C4F6D">
            <w:pPr>
              <w:tabs>
                <w:tab w:val="left" w:pos="567"/>
              </w:tabs>
              <w:spacing w:after="0" w:line="240" w:lineRule="auto"/>
              <w:jc w:val="both"/>
              <w:rPr>
                <w:rFonts w:ascii="Arial" w:eastAsia="Arial Narrow" w:hAnsi="Arial" w:cs="Arial"/>
                <w:color w:val="000000"/>
                <w:lang w:eastAsia="en-PH"/>
              </w:rPr>
            </w:pPr>
            <w:r w:rsidRPr="004C4F6D">
              <w:rPr>
                <w:rFonts w:ascii="Arial" w:eastAsia="Arial Narrow" w:hAnsi="Arial" w:cs="Arial"/>
                <w:color w:val="000000"/>
                <w:lang w:eastAsia="en-PH"/>
              </w:rPr>
              <w:t>Over 2 years</w:t>
            </w:r>
          </w:p>
        </w:tc>
        <w:tc>
          <w:tcPr>
            <w:tcW w:w="1842" w:type="dxa"/>
            <w:tcBorders>
              <w:bottom w:val="single" w:sz="4" w:space="0" w:color="000000"/>
            </w:tcBorders>
          </w:tcPr>
          <w:p w14:paraId="5F87170A"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10,320.00</w:t>
            </w:r>
          </w:p>
        </w:tc>
        <w:tc>
          <w:tcPr>
            <w:tcW w:w="2478" w:type="dxa"/>
            <w:tcBorders>
              <w:bottom w:val="single" w:sz="4" w:space="0" w:color="000000"/>
            </w:tcBorders>
          </w:tcPr>
          <w:p w14:paraId="5C8BBA04"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10,320.00</w:t>
            </w:r>
          </w:p>
        </w:tc>
        <w:tc>
          <w:tcPr>
            <w:tcW w:w="1806" w:type="dxa"/>
            <w:tcBorders>
              <w:bottom w:val="single" w:sz="4" w:space="0" w:color="000000"/>
            </w:tcBorders>
          </w:tcPr>
          <w:p w14:paraId="776C0E0E" w14:textId="77777777" w:rsidR="00312FC6" w:rsidRPr="004C4F6D" w:rsidRDefault="003919DE" w:rsidP="004C4F6D">
            <w:pPr>
              <w:tabs>
                <w:tab w:val="left" w:pos="567"/>
              </w:tabs>
              <w:spacing w:after="0" w:line="240" w:lineRule="auto"/>
              <w:jc w:val="right"/>
              <w:rPr>
                <w:rFonts w:ascii="Arial" w:eastAsia="Arial Narrow" w:hAnsi="Arial" w:cs="Arial"/>
                <w:color w:val="000000"/>
                <w:lang w:eastAsia="en-PH"/>
              </w:rPr>
            </w:pPr>
            <w:r w:rsidRPr="004C4F6D">
              <w:rPr>
                <w:rFonts w:ascii="Arial" w:eastAsia="Arial Narrow" w:hAnsi="Arial" w:cs="Arial"/>
                <w:color w:val="000000"/>
                <w:lang w:eastAsia="en-PH"/>
              </w:rPr>
              <w:t>0</w:t>
            </w:r>
          </w:p>
        </w:tc>
      </w:tr>
      <w:tr w:rsidR="00312FC6" w:rsidRPr="004C4F6D" w14:paraId="64C305E1" w14:textId="77777777" w:rsidTr="002F1504">
        <w:trPr>
          <w:jc w:val="center"/>
        </w:trPr>
        <w:tc>
          <w:tcPr>
            <w:tcW w:w="2430" w:type="dxa"/>
            <w:tcBorders>
              <w:top w:val="single" w:sz="4" w:space="0" w:color="000000"/>
              <w:bottom w:val="double" w:sz="4" w:space="0" w:color="000000"/>
            </w:tcBorders>
          </w:tcPr>
          <w:p w14:paraId="29B0790B" w14:textId="77777777" w:rsidR="00312FC6" w:rsidRPr="004C4F6D" w:rsidRDefault="003919DE" w:rsidP="004C4F6D">
            <w:pPr>
              <w:tabs>
                <w:tab w:val="left" w:pos="567"/>
              </w:tabs>
              <w:spacing w:after="0" w:line="240" w:lineRule="auto"/>
              <w:jc w:val="both"/>
              <w:rPr>
                <w:rFonts w:ascii="Arial" w:eastAsia="Arial Narrow" w:hAnsi="Arial" w:cs="Arial"/>
                <w:b/>
                <w:color w:val="000000"/>
                <w:lang w:eastAsia="en-PH"/>
              </w:rPr>
            </w:pPr>
            <w:r w:rsidRPr="004C4F6D">
              <w:rPr>
                <w:rFonts w:ascii="Arial" w:eastAsia="Arial Narrow" w:hAnsi="Arial" w:cs="Arial"/>
                <w:b/>
                <w:color w:val="000000"/>
                <w:lang w:eastAsia="en-PH"/>
              </w:rPr>
              <w:t>Total</w:t>
            </w:r>
          </w:p>
        </w:tc>
        <w:tc>
          <w:tcPr>
            <w:tcW w:w="1842" w:type="dxa"/>
            <w:tcBorders>
              <w:top w:val="single" w:sz="4" w:space="0" w:color="000000"/>
              <w:bottom w:val="double" w:sz="4" w:space="0" w:color="000000"/>
            </w:tcBorders>
          </w:tcPr>
          <w:p w14:paraId="722075A8" w14:textId="5916DAA5" w:rsidR="00312FC6" w:rsidRPr="004C4F6D" w:rsidRDefault="003919DE" w:rsidP="004C4F6D">
            <w:pPr>
              <w:tabs>
                <w:tab w:val="left" w:pos="567"/>
              </w:tabs>
              <w:spacing w:after="0" w:line="240" w:lineRule="auto"/>
              <w:jc w:val="right"/>
              <w:rPr>
                <w:rFonts w:ascii="Arial" w:eastAsia="Arial Narrow" w:hAnsi="Arial" w:cs="Arial"/>
                <w:b/>
                <w:color w:val="000000"/>
                <w:lang w:eastAsia="en-PH"/>
              </w:rPr>
            </w:pPr>
            <w:r w:rsidRPr="004C4F6D">
              <w:rPr>
                <w:rFonts w:ascii="Arial" w:eastAsia="Arial Narrow" w:hAnsi="Arial" w:cs="Arial"/>
                <w:b/>
                <w:color w:val="000000"/>
                <w:lang w:eastAsia="en-PH"/>
              </w:rPr>
              <w:t xml:space="preserve">   4,966,381.00</w:t>
            </w:r>
          </w:p>
        </w:tc>
        <w:tc>
          <w:tcPr>
            <w:tcW w:w="2478" w:type="dxa"/>
            <w:tcBorders>
              <w:top w:val="single" w:sz="4" w:space="0" w:color="000000"/>
              <w:bottom w:val="double" w:sz="4" w:space="0" w:color="000000"/>
            </w:tcBorders>
          </w:tcPr>
          <w:p w14:paraId="624EA5FD" w14:textId="5CCED79D" w:rsidR="00312FC6" w:rsidRPr="004C4F6D" w:rsidRDefault="003919DE" w:rsidP="004C4F6D">
            <w:pPr>
              <w:tabs>
                <w:tab w:val="left" w:pos="567"/>
              </w:tabs>
              <w:spacing w:after="0" w:line="240" w:lineRule="auto"/>
              <w:jc w:val="right"/>
              <w:rPr>
                <w:rFonts w:ascii="Arial" w:eastAsia="Arial Narrow" w:hAnsi="Arial" w:cs="Arial"/>
                <w:b/>
                <w:color w:val="000000"/>
                <w:lang w:eastAsia="en-PH"/>
              </w:rPr>
            </w:pPr>
            <w:r w:rsidRPr="004C4F6D">
              <w:rPr>
                <w:rFonts w:ascii="Arial" w:eastAsia="Arial Narrow" w:hAnsi="Arial" w:cs="Arial"/>
                <w:b/>
                <w:color w:val="000000"/>
                <w:lang w:eastAsia="en-PH"/>
              </w:rPr>
              <w:t xml:space="preserve">    429,920.59</w:t>
            </w:r>
          </w:p>
        </w:tc>
        <w:tc>
          <w:tcPr>
            <w:tcW w:w="1806" w:type="dxa"/>
            <w:tcBorders>
              <w:top w:val="single" w:sz="4" w:space="0" w:color="000000"/>
              <w:bottom w:val="double" w:sz="4" w:space="0" w:color="000000"/>
            </w:tcBorders>
          </w:tcPr>
          <w:p w14:paraId="7E42D3C4" w14:textId="06327C8D" w:rsidR="00312FC6" w:rsidRPr="004C4F6D" w:rsidRDefault="003919DE" w:rsidP="004C4F6D">
            <w:pPr>
              <w:tabs>
                <w:tab w:val="left" w:pos="567"/>
              </w:tabs>
              <w:spacing w:after="0" w:line="240" w:lineRule="auto"/>
              <w:jc w:val="right"/>
              <w:rPr>
                <w:rFonts w:ascii="Arial" w:eastAsia="Arial Narrow" w:hAnsi="Arial" w:cs="Arial"/>
                <w:b/>
                <w:color w:val="000000"/>
                <w:lang w:eastAsia="en-PH"/>
              </w:rPr>
            </w:pPr>
            <w:r w:rsidRPr="004C4F6D">
              <w:rPr>
                <w:rFonts w:ascii="Arial" w:eastAsia="Arial Narrow" w:hAnsi="Arial" w:cs="Arial"/>
                <w:b/>
                <w:color w:val="000000"/>
                <w:lang w:eastAsia="en-PH"/>
              </w:rPr>
              <w:t xml:space="preserve">   4,536,460.41</w:t>
            </w:r>
          </w:p>
        </w:tc>
      </w:tr>
    </w:tbl>
    <w:p w14:paraId="3A5A774C" w14:textId="00EC9365"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lastRenderedPageBreak/>
        <w:t xml:space="preserve">The complaints originated from withdrawals of </w:t>
      </w:r>
      <w:r w:rsidR="00054510" w:rsidRPr="004C4F6D">
        <w:rPr>
          <w:rFonts w:ascii="Arial" w:eastAsia="Arial Narrow" w:hAnsi="Arial" w:cs="Arial"/>
          <w:lang w:eastAsia="en-PH"/>
        </w:rPr>
        <w:t>o</w:t>
      </w:r>
      <w:r w:rsidRPr="004C4F6D">
        <w:rPr>
          <w:rFonts w:ascii="Arial" w:eastAsia="Arial Narrow" w:hAnsi="Arial" w:cs="Arial"/>
          <w:lang w:eastAsia="en-PH"/>
        </w:rPr>
        <w:t xml:space="preserve">ther </w:t>
      </w:r>
      <w:r w:rsidR="00054510" w:rsidRPr="004C4F6D">
        <w:rPr>
          <w:rFonts w:ascii="Arial" w:eastAsia="Arial Narrow" w:hAnsi="Arial" w:cs="Arial"/>
          <w:lang w:eastAsia="en-PH"/>
        </w:rPr>
        <w:t>b</w:t>
      </w:r>
      <w:r w:rsidRPr="004C4F6D">
        <w:rPr>
          <w:rFonts w:ascii="Arial" w:eastAsia="Arial Narrow" w:hAnsi="Arial" w:cs="Arial"/>
          <w:lang w:eastAsia="en-PH"/>
        </w:rPr>
        <w:t xml:space="preserve">ank </w:t>
      </w:r>
      <w:r w:rsidR="00054510" w:rsidRPr="004C4F6D">
        <w:rPr>
          <w:rFonts w:ascii="Arial" w:eastAsia="Arial Narrow" w:hAnsi="Arial" w:cs="Arial"/>
          <w:lang w:eastAsia="en-PH"/>
        </w:rPr>
        <w:t>c</w:t>
      </w:r>
      <w:r w:rsidRPr="004C4F6D">
        <w:rPr>
          <w:rFonts w:ascii="Arial" w:eastAsia="Arial Narrow" w:hAnsi="Arial" w:cs="Arial"/>
          <w:lang w:eastAsia="en-PH"/>
        </w:rPr>
        <w:t xml:space="preserve">ardholders at LBP Automated Teller Machines (ATM) which were debited from their accounts but were not dispensed by the ATM. The complaints were not responded by LBP in accordance with Items 6.2.1 of the BancNet Policies and Guidelines for Interbank Claims revised on May 2021, providing turn-around-time, </w:t>
      </w:r>
      <w:r w:rsidRPr="004C4F6D">
        <w:rPr>
          <w:rFonts w:ascii="Arial" w:eastAsia="Arial Narrow" w:hAnsi="Arial" w:cs="Arial"/>
          <w:i/>
          <w:lang w:eastAsia="en-PH"/>
        </w:rPr>
        <w:t xml:space="preserve">for claims on ATM cash withdrawals, POS Cashout and Inter Bank Fund Transfers (IBFT </w:t>
      </w:r>
      <w:r w:rsidRPr="004C4F6D">
        <w:rPr>
          <w:rFonts w:ascii="Arial" w:eastAsia="Arial Narrow" w:hAnsi="Arial" w:cs="Arial"/>
          <w:lang w:eastAsia="en-PH"/>
        </w:rPr>
        <w:t xml:space="preserve">of </w:t>
      </w:r>
      <w:r w:rsidRPr="004C4F6D">
        <w:rPr>
          <w:rFonts w:ascii="Arial" w:eastAsia="Arial Narrow" w:hAnsi="Arial" w:cs="Arial"/>
          <w:i/>
          <w:lang w:eastAsia="en-PH"/>
        </w:rPr>
        <w:t>Within eleven (11) banking days (T1 + 10) for chargeback transactions as Acquirer / Transferee</w:t>
      </w:r>
      <w:r w:rsidR="000B3C59">
        <w:rPr>
          <w:rFonts w:ascii="Arial" w:eastAsia="Arial Narrow" w:hAnsi="Arial" w:cs="Arial"/>
          <w:i/>
          <w:lang w:eastAsia="en-PH"/>
        </w:rPr>
        <w:t>)</w:t>
      </w:r>
      <w:r w:rsidRPr="004C4F6D">
        <w:rPr>
          <w:rFonts w:ascii="Arial" w:eastAsia="Arial Narrow" w:hAnsi="Arial" w:cs="Arial"/>
          <w:i/>
          <w:lang w:eastAsia="en-PH"/>
        </w:rPr>
        <w:t>.</w:t>
      </w:r>
    </w:p>
    <w:p w14:paraId="3B9F6A36" w14:textId="77777777" w:rsidR="00312FC6" w:rsidRPr="004C4F6D" w:rsidRDefault="00312FC6" w:rsidP="004C4F6D">
      <w:pPr>
        <w:pStyle w:val="ListParagraph"/>
        <w:spacing w:after="0" w:line="240" w:lineRule="auto"/>
        <w:ind w:left="0" w:right="195"/>
        <w:jc w:val="both"/>
        <w:rPr>
          <w:rFonts w:ascii="Arial" w:eastAsia="Arial Narrow" w:hAnsi="Arial" w:cs="Arial"/>
          <w:lang w:eastAsia="en-PH"/>
        </w:rPr>
      </w:pPr>
    </w:p>
    <w:p w14:paraId="6DBA7E05" w14:textId="112A4795"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 xml:space="preserve">AOSD Assistant Department Manager explained that reversal of the accounts receivable is ongoing, with AOSD as either originating unit (i.e. for Inter-Office-Advice [IOA] to branches) or as responding unit (i.e. awaiting IOA from branches). AOSD </w:t>
      </w:r>
      <w:r w:rsidR="00B33092" w:rsidRPr="004C4F6D">
        <w:rPr>
          <w:rFonts w:ascii="Arial" w:eastAsia="Arial Narrow" w:hAnsi="Arial" w:cs="Arial"/>
          <w:lang w:eastAsia="en-PH"/>
        </w:rPr>
        <w:t>further</w:t>
      </w:r>
      <w:r w:rsidRPr="004C4F6D">
        <w:rPr>
          <w:rFonts w:ascii="Arial" w:eastAsia="Arial Narrow" w:hAnsi="Arial" w:cs="Arial"/>
          <w:lang w:eastAsia="en-PH"/>
        </w:rPr>
        <w:t xml:space="preserve"> informed that the </w:t>
      </w:r>
      <w:r w:rsidR="00054510" w:rsidRPr="004C4F6D">
        <w:rPr>
          <w:rFonts w:ascii="Arial" w:eastAsia="Arial Narrow" w:hAnsi="Arial" w:cs="Arial"/>
          <w:lang w:eastAsia="en-PH"/>
        </w:rPr>
        <w:t xml:space="preserve">complaints of </w:t>
      </w:r>
      <w:r w:rsidRPr="004C4F6D">
        <w:rPr>
          <w:rFonts w:ascii="Arial" w:eastAsia="Arial Narrow" w:hAnsi="Arial" w:cs="Arial"/>
          <w:lang w:eastAsia="en-PH"/>
        </w:rPr>
        <w:t xml:space="preserve">transactions aged for more than 360 days were affected due to the COVID-19 </w:t>
      </w:r>
      <w:r w:rsidR="00B33092" w:rsidRPr="004C4F6D">
        <w:rPr>
          <w:rFonts w:ascii="Arial" w:eastAsia="Arial Narrow" w:hAnsi="Arial" w:cs="Arial"/>
          <w:lang w:eastAsia="en-PH"/>
        </w:rPr>
        <w:t>p</w:t>
      </w:r>
      <w:r w:rsidRPr="004C4F6D">
        <w:rPr>
          <w:rFonts w:ascii="Arial" w:eastAsia="Arial Narrow" w:hAnsi="Arial" w:cs="Arial"/>
          <w:lang w:eastAsia="en-PH"/>
        </w:rPr>
        <w:t xml:space="preserve">andemic wherein various community quarantines were declared, which resulted to branches having limited operating hours in submitting the required documents for reversal. AOSD added that there were instances </w:t>
      </w:r>
      <w:r w:rsidR="00FD5F16" w:rsidRPr="004C4F6D">
        <w:rPr>
          <w:rFonts w:ascii="Arial" w:eastAsia="Arial Narrow" w:hAnsi="Arial" w:cs="Arial"/>
          <w:lang w:eastAsia="en-PH"/>
        </w:rPr>
        <w:t>the</w:t>
      </w:r>
      <w:r w:rsidRPr="004C4F6D">
        <w:rPr>
          <w:rFonts w:ascii="Arial" w:eastAsia="Arial Narrow" w:hAnsi="Arial" w:cs="Arial"/>
          <w:lang w:eastAsia="en-PH"/>
        </w:rPr>
        <w:t xml:space="preserve"> ATM Electronic Journals (EJ) were corrupted or not available </w:t>
      </w:r>
      <w:r w:rsidR="00FD5F16" w:rsidRPr="004C4F6D">
        <w:rPr>
          <w:rFonts w:ascii="Arial" w:eastAsia="Arial Narrow" w:hAnsi="Arial" w:cs="Arial"/>
          <w:lang w:eastAsia="en-PH"/>
        </w:rPr>
        <w:t xml:space="preserve">to </w:t>
      </w:r>
      <w:r w:rsidRPr="004C4F6D">
        <w:rPr>
          <w:rFonts w:ascii="Arial" w:eastAsia="Arial Narrow" w:hAnsi="Arial" w:cs="Arial"/>
          <w:lang w:eastAsia="en-PH"/>
        </w:rPr>
        <w:t xml:space="preserve">verify if the ATM transaction is successful or not. Lastly, AOSD </w:t>
      </w:r>
      <w:r w:rsidR="00FD5F16" w:rsidRPr="004C4F6D">
        <w:rPr>
          <w:rFonts w:ascii="Arial" w:eastAsia="Arial Narrow" w:hAnsi="Arial" w:cs="Arial"/>
          <w:lang w:eastAsia="en-PH"/>
        </w:rPr>
        <w:t xml:space="preserve">further added </w:t>
      </w:r>
      <w:r w:rsidRPr="004C4F6D">
        <w:rPr>
          <w:rFonts w:ascii="Arial" w:eastAsia="Arial Narrow" w:hAnsi="Arial" w:cs="Arial"/>
          <w:lang w:eastAsia="en-PH"/>
        </w:rPr>
        <w:t xml:space="preserve">that </w:t>
      </w:r>
      <w:r w:rsidR="00FD5F16" w:rsidRPr="004C4F6D">
        <w:rPr>
          <w:rFonts w:ascii="Arial" w:eastAsia="Arial Narrow" w:hAnsi="Arial" w:cs="Arial"/>
          <w:lang w:eastAsia="en-PH"/>
        </w:rPr>
        <w:t>the branches are</w:t>
      </w:r>
      <w:r w:rsidRPr="004C4F6D">
        <w:rPr>
          <w:rFonts w:ascii="Arial" w:eastAsia="Arial Narrow" w:hAnsi="Arial" w:cs="Arial"/>
          <w:lang w:eastAsia="en-PH"/>
        </w:rPr>
        <w:t xml:space="preserve"> regularly remind</w:t>
      </w:r>
      <w:r w:rsidR="00FD5F16" w:rsidRPr="004C4F6D">
        <w:rPr>
          <w:rFonts w:ascii="Arial" w:eastAsia="Arial Narrow" w:hAnsi="Arial" w:cs="Arial"/>
          <w:lang w:eastAsia="en-PH"/>
        </w:rPr>
        <w:t>ed</w:t>
      </w:r>
      <w:r w:rsidRPr="004C4F6D">
        <w:rPr>
          <w:rFonts w:ascii="Arial" w:eastAsia="Arial Narrow" w:hAnsi="Arial" w:cs="Arial"/>
          <w:lang w:eastAsia="en-PH"/>
        </w:rPr>
        <w:t>/advise</w:t>
      </w:r>
      <w:r w:rsidR="00FD5F16" w:rsidRPr="004C4F6D">
        <w:rPr>
          <w:rFonts w:ascii="Arial" w:eastAsia="Arial Narrow" w:hAnsi="Arial" w:cs="Arial"/>
          <w:lang w:eastAsia="en-PH"/>
        </w:rPr>
        <w:t>d</w:t>
      </w:r>
      <w:r w:rsidRPr="004C4F6D">
        <w:rPr>
          <w:rFonts w:ascii="Arial" w:eastAsia="Arial Narrow" w:hAnsi="Arial" w:cs="Arial"/>
          <w:lang w:eastAsia="en-PH"/>
        </w:rPr>
        <w:t xml:space="preserve"> on the auto-charging of lapsed chargeback by BancNet. However, review of the AOSD Schedule of Accounts Receivable as of January 31, 2023 disclosed 752 instances of lapsed chargeback transactions booked on different dates during the month of January 2023 with total amount of P4,322,433.50 which indicates that the non-responding to complaints within the TAT still pers</w:t>
      </w:r>
      <w:r w:rsidR="00FD5F16" w:rsidRPr="004C4F6D">
        <w:rPr>
          <w:rFonts w:ascii="Arial" w:eastAsia="Arial Narrow" w:hAnsi="Arial" w:cs="Arial"/>
          <w:lang w:eastAsia="en-PH"/>
        </w:rPr>
        <w:t>ist</w:t>
      </w:r>
      <w:r w:rsidRPr="004C4F6D">
        <w:rPr>
          <w:rFonts w:ascii="Arial" w:eastAsia="Arial Narrow" w:hAnsi="Arial" w:cs="Arial"/>
          <w:lang w:eastAsia="en-PH"/>
        </w:rPr>
        <w:t>.</w:t>
      </w:r>
    </w:p>
    <w:p w14:paraId="26816EF1" w14:textId="77777777" w:rsidR="00312FC6" w:rsidRPr="004C4F6D" w:rsidRDefault="00312FC6" w:rsidP="004C4F6D">
      <w:pPr>
        <w:pStyle w:val="ListParagraph"/>
        <w:spacing w:after="0" w:line="240" w:lineRule="auto"/>
        <w:ind w:left="0" w:right="195"/>
        <w:jc w:val="both"/>
        <w:rPr>
          <w:rFonts w:ascii="Arial" w:eastAsia="Arial Narrow" w:hAnsi="Arial" w:cs="Arial"/>
          <w:lang w:eastAsia="en-PH"/>
        </w:rPr>
      </w:pPr>
    </w:p>
    <w:p w14:paraId="4E89E765" w14:textId="4EBA264F"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lang w:eastAsia="en-PH"/>
        </w:rPr>
        <w:t>The gaps in responding within the prescribed TAT for the lapsed chargeback transactions is not in accordance with the BancNet Policies and Guidelines for Interbank Claims. This prevented prompt reversals of A</w:t>
      </w:r>
      <w:r w:rsidR="00527BB1" w:rsidRPr="004C4F6D">
        <w:rPr>
          <w:rFonts w:ascii="Arial" w:eastAsia="Arial Narrow" w:hAnsi="Arial" w:cs="Arial"/>
          <w:lang w:eastAsia="en-PH"/>
        </w:rPr>
        <w:t>/Rs</w:t>
      </w:r>
      <w:r w:rsidRPr="004C4F6D">
        <w:rPr>
          <w:rFonts w:ascii="Arial" w:eastAsia="Arial Narrow" w:hAnsi="Arial" w:cs="Arial"/>
          <w:lang w:eastAsia="en-PH"/>
        </w:rPr>
        <w:t xml:space="preserve"> </w:t>
      </w:r>
      <w:r w:rsidR="00FD5F16" w:rsidRPr="004C4F6D">
        <w:rPr>
          <w:rFonts w:ascii="Arial" w:eastAsia="Arial Narrow" w:hAnsi="Arial" w:cs="Arial"/>
          <w:lang w:eastAsia="en-PH"/>
        </w:rPr>
        <w:t xml:space="preserve">amounting </w:t>
      </w:r>
      <w:r w:rsidRPr="004C4F6D">
        <w:rPr>
          <w:rFonts w:ascii="Arial" w:eastAsia="Arial Narrow" w:hAnsi="Arial" w:cs="Arial"/>
          <w:lang w:eastAsia="en-PH"/>
        </w:rPr>
        <w:t xml:space="preserve">P4,966,381.00, </w:t>
      </w:r>
      <w:r w:rsidR="00FD5F16" w:rsidRPr="004C4F6D">
        <w:rPr>
          <w:rFonts w:ascii="Arial" w:eastAsia="Arial Narrow" w:hAnsi="Arial" w:cs="Arial"/>
          <w:lang w:eastAsia="en-PH"/>
        </w:rPr>
        <w:t xml:space="preserve">and </w:t>
      </w:r>
      <w:r w:rsidRPr="004C4F6D">
        <w:rPr>
          <w:rFonts w:ascii="Arial" w:eastAsia="Arial Narrow" w:hAnsi="Arial" w:cs="Arial"/>
          <w:lang w:eastAsia="en-PH"/>
        </w:rPr>
        <w:t xml:space="preserve">recognition of P429,920.59 in allowance for probable losses </w:t>
      </w:r>
      <w:r w:rsidR="007C303C" w:rsidRPr="004C4F6D">
        <w:rPr>
          <w:rFonts w:ascii="Arial" w:eastAsia="Arial Narrow" w:hAnsi="Arial" w:cs="Arial"/>
          <w:lang w:eastAsia="en-PH"/>
        </w:rPr>
        <w:t>for aged</w:t>
      </w:r>
      <w:r w:rsidRPr="004C4F6D">
        <w:rPr>
          <w:rFonts w:ascii="Arial" w:eastAsia="Arial Narrow" w:hAnsi="Arial" w:cs="Arial"/>
          <w:lang w:eastAsia="en-PH"/>
        </w:rPr>
        <w:t xml:space="preserve"> over 30 days. </w:t>
      </w:r>
    </w:p>
    <w:p w14:paraId="1B7EF159" w14:textId="77777777" w:rsidR="00312FC6" w:rsidRPr="004C4F6D" w:rsidRDefault="00312FC6" w:rsidP="004C4F6D">
      <w:pPr>
        <w:spacing w:after="0" w:line="240" w:lineRule="auto"/>
        <w:jc w:val="both"/>
        <w:rPr>
          <w:rFonts w:ascii="Arial" w:eastAsia="Arial Narrow" w:hAnsi="Arial" w:cs="Arial"/>
          <w:b/>
          <w:i/>
          <w:u w:val="single"/>
        </w:rPr>
      </w:pPr>
    </w:p>
    <w:p w14:paraId="6FFDAD22" w14:textId="0A8FB920" w:rsidR="00312FC6" w:rsidRPr="004C4F6D" w:rsidRDefault="003919DE" w:rsidP="004C4F6D">
      <w:pPr>
        <w:pStyle w:val="ListParagraph"/>
        <w:spacing w:after="0" w:line="240" w:lineRule="auto"/>
        <w:ind w:left="0"/>
        <w:jc w:val="both"/>
        <w:rPr>
          <w:rFonts w:ascii="Arial" w:eastAsia="Arial Narrow" w:hAnsi="Arial" w:cs="Arial"/>
          <w:b/>
          <w:bCs/>
          <w:i/>
        </w:rPr>
      </w:pPr>
      <w:r w:rsidRPr="004C4F6D">
        <w:rPr>
          <w:rFonts w:ascii="Arial" w:eastAsia="Arial Narrow" w:hAnsi="Arial" w:cs="Arial"/>
          <w:b/>
          <w:bCs/>
          <w:i/>
          <w:iCs/>
        </w:rPr>
        <w:t>E</w:t>
      </w:r>
      <w:r w:rsidRPr="004C4F6D">
        <w:rPr>
          <w:rFonts w:ascii="Arial" w:eastAsia="Arial Narrow" w:hAnsi="Arial" w:cs="Arial"/>
          <w:b/>
          <w:bCs/>
          <w:i/>
        </w:rPr>
        <w:t>rrors in manual input of status code in the PesoNet System based on LBRS generated data</w:t>
      </w:r>
      <w:r w:rsidR="00510AD5" w:rsidRPr="004C4F6D">
        <w:rPr>
          <w:rFonts w:ascii="Arial" w:eastAsia="Arial Narrow" w:hAnsi="Arial" w:cs="Arial"/>
          <w:b/>
          <w:bCs/>
          <w:i/>
        </w:rPr>
        <w:t xml:space="preserve"> amounting</w:t>
      </w:r>
      <w:r w:rsidRPr="004C4F6D">
        <w:rPr>
          <w:rFonts w:ascii="Arial" w:eastAsia="Arial Narrow" w:hAnsi="Arial" w:cs="Arial"/>
          <w:b/>
          <w:bCs/>
        </w:rPr>
        <w:t xml:space="preserve"> </w:t>
      </w:r>
      <w:r w:rsidRPr="004C4F6D">
        <w:rPr>
          <w:rFonts w:ascii="Arial" w:eastAsia="Arial Narrow" w:hAnsi="Arial" w:cs="Arial"/>
          <w:b/>
          <w:bCs/>
          <w:i/>
        </w:rPr>
        <w:t>P8,319,045.91</w:t>
      </w:r>
    </w:p>
    <w:p w14:paraId="71E7EE54" w14:textId="77777777" w:rsidR="00312FC6" w:rsidRPr="004C4F6D" w:rsidRDefault="00312FC6" w:rsidP="004C4F6D">
      <w:pPr>
        <w:spacing w:after="0" w:line="240" w:lineRule="auto"/>
        <w:jc w:val="both"/>
        <w:rPr>
          <w:rFonts w:ascii="Arial" w:eastAsia="Arial Narrow" w:hAnsi="Arial" w:cs="Arial"/>
        </w:rPr>
      </w:pPr>
    </w:p>
    <w:p w14:paraId="69AF0BD1" w14:textId="6BFBC340"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lang w:eastAsia="en-PH"/>
        </w:rPr>
        <w:t>The</w:t>
      </w:r>
      <w:r w:rsidRPr="004C4F6D">
        <w:rPr>
          <w:rFonts w:ascii="Arial" w:eastAsia="Arial Narrow" w:hAnsi="Arial" w:cs="Arial"/>
        </w:rPr>
        <w:t xml:space="preserve"> Bank Reconciliation Statement of Due from BSP account, prepared by the Financial Accounting Department (FAD) as of December 31, 2022, include</w:t>
      </w:r>
      <w:r w:rsidR="00510AD5" w:rsidRPr="004C4F6D">
        <w:rPr>
          <w:rFonts w:ascii="Arial" w:eastAsia="Arial Narrow" w:hAnsi="Arial" w:cs="Arial"/>
        </w:rPr>
        <w:t>d</w:t>
      </w:r>
      <w:r w:rsidRPr="004C4F6D">
        <w:rPr>
          <w:rFonts w:ascii="Arial" w:eastAsia="Arial Narrow" w:hAnsi="Arial" w:cs="Arial"/>
        </w:rPr>
        <w:t xml:space="preserve"> reconciling items pertaining to FDRD’s regular transactions in LBRS </w:t>
      </w:r>
      <w:r w:rsidR="00600081" w:rsidRPr="004C4F6D">
        <w:rPr>
          <w:rFonts w:ascii="Arial" w:eastAsia="Arial Narrow" w:hAnsi="Arial" w:cs="Arial"/>
        </w:rPr>
        <w:t>specifically the</w:t>
      </w:r>
      <w:r w:rsidRPr="004C4F6D">
        <w:rPr>
          <w:rFonts w:ascii="Arial" w:eastAsia="Arial Narrow" w:hAnsi="Arial" w:cs="Arial"/>
        </w:rPr>
        <w:t xml:space="preserve"> BSP debits not in LBP books amounting to P8,319,045.91 with transaction date </w:t>
      </w:r>
      <w:r w:rsidR="00600081" w:rsidRPr="004C4F6D">
        <w:rPr>
          <w:rFonts w:ascii="Arial" w:eastAsia="Arial Narrow" w:hAnsi="Arial" w:cs="Arial"/>
        </w:rPr>
        <w:t xml:space="preserve">of </w:t>
      </w:r>
      <w:r w:rsidRPr="004C4F6D">
        <w:rPr>
          <w:rFonts w:ascii="Arial" w:eastAsia="Arial Narrow" w:hAnsi="Arial" w:cs="Arial"/>
        </w:rPr>
        <w:t>August 12, 2020.</w:t>
      </w:r>
    </w:p>
    <w:p w14:paraId="7B654224" w14:textId="77777777" w:rsidR="00312FC6" w:rsidRPr="004C4F6D" w:rsidRDefault="00312FC6" w:rsidP="004C4F6D">
      <w:pPr>
        <w:pStyle w:val="ListParagraph"/>
        <w:spacing w:after="0" w:line="240" w:lineRule="auto"/>
        <w:ind w:left="0" w:right="195"/>
        <w:jc w:val="both"/>
        <w:rPr>
          <w:rFonts w:ascii="Arial" w:eastAsia="Arial Narrow" w:hAnsi="Arial" w:cs="Arial"/>
        </w:rPr>
      </w:pPr>
    </w:p>
    <w:p w14:paraId="76A74A86" w14:textId="028E093B"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Inquiry with FDRD personnel revealed that the reconciling item </w:t>
      </w:r>
      <w:r w:rsidR="003A2CE3" w:rsidRPr="004C4F6D">
        <w:rPr>
          <w:rFonts w:ascii="Arial" w:eastAsia="Arial Narrow" w:hAnsi="Arial" w:cs="Arial"/>
        </w:rPr>
        <w:t>of</w:t>
      </w:r>
      <w:r w:rsidRPr="004C4F6D">
        <w:rPr>
          <w:rFonts w:ascii="Arial" w:eastAsia="Arial Narrow" w:hAnsi="Arial" w:cs="Arial"/>
        </w:rPr>
        <w:t xml:space="preserve"> August 12, 2020 pertains to LBRS PesoNet </w:t>
      </w:r>
      <w:r w:rsidR="00600081" w:rsidRPr="004C4F6D">
        <w:rPr>
          <w:rFonts w:ascii="Arial" w:eastAsia="Arial Narrow" w:hAnsi="Arial" w:cs="Arial"/>
        </w:rPr>
        <w:t>r</w:t>
      </w:r>
      <w:r w:rsidRPr="004C4F6D">
        <w:rPr>
          <w:rFonts w:ascii="Arial" w:eastAsia="Arial Narrow" w:hAnsi="Arial" w:cs="Arial"/>
        </w:rPr>
        <w:t xml:space="preserve">emittances to LBP account holders coming from other banks totaling to P8,319,045.91. </w:t>
      </w:r>
      <w:r w:rsidR="00600081" w:rsidRPr="004C4F6D">
        <w:rPr>
          <w:rFonts w:ascii="Arial" w:eastAsia="Arial Narrow" w:hAnsi="Arial" w:cs="Arial"/>
        </w:rPr>
        <w:t xml:space="preserve">Treasury Operations Department (TOD) </w:t>
      </w:r>
      <w:r w:rsidRPr="004C4F6D">
        <w:rPr>
          <w:rFonts w:ascii="Arial" w:eastAsia="Arial Narrow" w:hAnsi="Arial" w:cs="Arial"/>
        </w:rPr>
        <w:t>erroneously fe</w:t>
      </w:r>
      <w:r w:rsidR="00600081" w:rsidRPr="004C4F6D">
        <w:rPr>
          <w:rFonts w:ascii="Arial" w:eastAsia="Arial Narrow" w:hAnsi="Arial" w:cs="Arial"/>
        </w:rPr>
        <w:t>e</w:t>
      </w:r>
      <w:r w:rsidRPr="004C4F6D">
        <w:rPr>
          <w:rFonts w:ascii="Arial" w:eastAsia="Arial Narrow" w:hAnsi="Arial" w:cs="Arial"/>
        </w:rPr>
        <w:t xml:space="preserve">dback </w:t>
      </w:r>
      <w:r w:rsidR="00600081" w:rsidRPr="004C4F6D">
        <w:rPr>
          <w:rFonts w:ascii="Arial" w:eastAsia="Arial Narrow" w:hAnsi="Arial" w:cs="Arial"/>
        </w:rPr>
        <w:t xml:space="preserve">the remittance transactions </w:t>
      </w:r>
      <w:r w:rsidRPr="004C4F6D">
        <w:rPr>
          <w:rFonts w:ascii="Arial" w:eastAsia="Arial Narrow" w:hAnsi="Arial" w:cs="Arial"/>
        </w:rPr>
        <w:t>as rejected transactions by manually entering wrong status codes</w:t>
      </w:r>
      <w:r w:rsidR="003A2CE3" w:rsidRPr="004C4F6D">
        <w:rPr>
          <w:rFonts w:ascii="Arial" w:eastAsia="Arial Narrow" w:hAnsi="Arial" w:cs="Arial"/>
        </w:rPr>
        <w:t xml:space="preserve"> in the PesoNet System</w:t>
      </w:r>
      <w:r w:rsidRPr="004C4F6D">
        <w:rPr>
          <w:rFonts w:ascii="Arial" w:eastAsia="Arial Narrow" w:hAnsi="Arial" w:cs="Arial"/>
        </w:rPr>
        <w:t xml:space="preserve">. The feed-back procedure was manually </w:t>
      </w:r>
      <w:r w:rsidR="00600081" w:rsidRPr="004C4F6D">
        <w:rPr>
          <w:rFonts w:ascii="Arial" w:eastAsia="Arial Narrow" w:hAnsi="Arial" w:cs="Arial"/>
        </w:rPr>
        <w:t xml:space="preserve">made </w:t>
      </w:r>
      <w:r w:rsidRPr="004C4F6D">
        <w:rPr>
          <w:rFonts w:ascii="Arial" w:eastAsia="Arial Narrow" w:hAnsi="Arial" w:cs="Arial"/>
        </w:rPr>
        <w:t>by entering the status codes of the remittance transaction, i.e., DS07 for processing “OK”, AC03 for “Invalid Creditor Account Number” and BE01 for “Inconsistent with End Customer”. Inadvertently, TOD inputted the code BE01 instead of DS07 in the PesoNet System. LBRS successfully processed the</w:t>
      </w:r>
      <w:r w:rsidR="00600081" w:rsidRPr="004C4F6D">
        <w:rPr>
          <w:rFonts w:ascii="Arial" w:eastAsia="Arial Narrow" w:hAnsi="Arial" w:cs="Arial"/>
        </w:rPr>
        <w:t xml:space="preserve"> </w:t>
      </w:r>
      <w:r w:rsidRPr="004C4F6D">
        <w:rPr>
          <w:rFonts w:ascii="Arial" w:eastAsia="Arial Narrow" w:hAnsi="Arial" w:cs="Arial"/>
        </w:rPr>
        <w:t xml:space="preserve">transactions and eventually credited the respective LBP accounts destination. </w:t>
      </w:r>
    </w:p>
    <w:p w14:paraId="0AE2E2CE" w14:textId="77777777" w:rsidR="00312FC6" w:rsidRPr="004C4F6D" w:rsidRDefault="00312FC6" w:rsidP="004C4F6D">
      <w:pPr>
        <w:pStyle w:val="ListParagraph"/>
        <w:spacing w:after="0" w:line="240" w:lineRule="auto"/>
        <w:rPr>
          <w:rFonts w:ascii="Arial" w:eastAsia="Arial Narrow" w:hAnsi="Arial" w:cs="Arial"/>
        </w:rPr>
      </w:pPr>
    </w:p>
    <w:p w14:paraId="3D23B082" w14:textId="744AD4FD"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The affected LBP accounts credited were recalled due to the error made.</w:t>
      </w:r>
      <w:r w:rsidRPr="004C4F6D">
        <w:rPr>
          <w:rFonts w:ascii="Arial" w:eastAsia="Arial Narrow" w:hAnsi="Arial" w:cs="Arial"/>
          <w:color w:val="FF0000"/>
        </w:rPr>
        <w:t xml:space="preserve"> </w:t>
      </w:r>
      <w:r w:rsidRPr="004C4F6D">
        <w:rPr>
          <w:rFonts w:ascii="Arial" w:eastAsia="Arial Narrow" w:hAnsi="Arial" w:cs="Arial"/>
        </w:rPr>
        <w:t>Some local banks have returned</w:t>
      </w:r>
      <w:r w:rsidR="003A2CE3" w:rsidRPr="004C4F6D">
        <w:rPr>
          <w:rFonts w:ascii="Arial" w:eastAsia="Arial Narrow" w:hAnsi="Arial" w:cs="Arial"/>
        </w:rPr>
        <w:t xml:space="preserve"> </w:t>
      </w:r>
      <w:r w:rsidRPr="004C4F6D">
        <w:rPr>
          <w:rFonts w:ascii="Arial" w:eastAsia="Arial Narrow" w:hAnsi="Arial" w:cs="Arial"/>
        </w:rPr>
        <w:t>the amounts, but were received by L</w:t>
      </w:r>
      <w:r w:rsidR="003A2CE3" w:rsidRPr="004C4F6D">
        <w:rPr>
          <w:rFonts w:ascii="Arial" w:eastAsia="Arial Narrow" w:hAnsi="Arial" w:cs="Arial"/>
        </w:rPr>
        <w:t>BP</w:t>
      </w:r>
      <w:r w:rsidRPr="004C4F6D">
        <w:rPr>
          <w:rFonts w:ascii="Arial" w:eastAsia="Arial Narrow" w:hAnsi="Arial" w:cs="Arial"/>
        </w:rPr>
        <w:t xml:space="preserve"> as a regular inward remittance with no indication as returned items, hence, were credited again to the same LBP account</w:t>
      </w:r>
      <w:r w:rsidR="003A2CE3" w:rsidRPr="004C4F6D">
        <w:rPr>
          <w:rFonts w:ascii="Arial" w:eastAsia="Arial Narrow" w:hAnsi="Arial" w:cs="Arial"/>
        </w:rPr>
        <w:t xml:space="preserve"> holders </w:t>
      </w:r>
      <w:r w:rsidRPr="004C4F6D">
        <w:rPr>
          <w:rFonts w:ascii="Arial" w:eastAsia="Arial Narrow" w:hAnsi="Arial" w:cs="Arial"/>
        </w:rPr>
        <w:t>via the LBRS system.</w:t>
      </w:r>
      <w:r w:rsidRPr="004C4F6D">
        <w:rPr>
          <w:rFonts w:ascii="Arial" w:eastAsia="Arial Narrow" w:hAnsi="Arial" w:cs="Arial"/>
          <w:color w:val="000000"/>
        </w:rPr>
        <w:t xml:space="preserve"> </w:t>
      </w:r>
      <w:r w:rsidRPr="004C4F6D">
        <w:rPr>
          <w:rFonts w:ascii="Arial" w:eastAsia="Arial Narrow" w:hAnsi="Arial" w:cs="Arial"/>
        </w:rPr>
        <w:t xml:space="preserve">As of October 31, 2022 the total duplicated </w:t>
      </w:r>
      <w:r w:rsidRPr="004C4F6D">
        <w:rPr>
          <w:rFonts w:ascii="Arial" w:eastAsia="Arial Narrow" w:hAnsi="Arial" w:cs="Arial"/>
        </w:rPr>
        <w:lastRenderedPageBreak/>
        <w:t xml:space="preserve">figures credited amounted to P5,551,856.31. </w:t>
      </w:r>
      <w:r w:rsidRPr="004C4F6D">
        <w:rPr>
          <w:rFonts w:ascii="Arial" w:eastAsia="Arial Narrow" w:hAnsi="Arial" w:cs="Arial"/>
          <w:color w:val="FF0000"/>
        </w:rPr>
        <w:t xml:space="preserve"> </w:t>
      </w:r>
      <w:r w:rsidRPr="004C4F6D">
        <w:rPr>
          <w:rFonts w:ascii="Arial" w:eastAsia="Arial Narrow" w:hAnsi="Arial" w:cs="Arial"/>
        </w:rPr>
        <w:t xml:space="preserve">The process of reclamation of FDRD is still on-going in coordination with the respective LBP Branches of account. </w:t>
      </w:r>
    </w:p>
    <w:p w14:paraId="1D37437F" w14:textId="77777777" w:rsidR="00312FC6" w:rsidRPr="004C4F6D" w:rsidRDefault="00312FC6" w:rsidP="004C4F6D">
      <w:pPr>
        <w:pStyle w:val="ListParagraph"/>
        <w:spacing w:after="0" w:line="240" w:lineRule="auto"/>
        <w:rPr>
          <w:rFonts w:ascii="Arial" w:eastAsia="Arial Narrow" w:hAnsi="Arial" w:cs="Arial"/>
        </w:rPr>
      </w:pPr>
    </w:p>
    <w:p w14:paraId="6C251190" w14:textId="321E7BFF" w:rsidR="00312FC6" w:rsidRPr="004C4F6D" w:rsidRDefault="003A2CE3"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The </w:t>
      </w:r>
      <w:r w:rsidR="003919DE" w:rsidRPr="004C4F6D">
        <w:rPr>
          <w:rFonts w:ascii="Arial" w:eastAsia="Arial Narrow" w:hAnsi="Arial" w:cs="Arial"/>
        </w:rPr>
        <w:t xml:space="preserve">concerned personnel </w:t>
      </w:r>
      <w:r w:rsidRPr="004C4F6D">
        <w:rPr>
          <w:rFonts w:ascii="Arial" w:eastAsia="Arial Narrow" w:hAnsi="Arial" w:cs="Arial"/>
        </w:rPr>
        <w:t xml:space="preserve">informed the audit team </w:t>
      </w:r>
      <w:r w:rsidR="003919DE" w:rsidRPr="004C4F6D">
        <w:rPr>
          <w:rFonts w:ascii="Arial" w:eastAsia="Arial Narrow" w:hAnsi="Arial" w:cs="Arial"/>
        </w:rPr>
        <w:t>that the manual processing of entering status codes rather than automatic uploading of LBRS generated file in the Peso</w:t>
      </w:r>
      <w:r w:rsidR="001C1F6F" w:rsidRPr="004C4F6D">
        <w:rPr>
          <w:rFonts w:ascii="Arial" w:eastAsia="Arial Narrow" w:hAnsi="Arial" w:cs="Arial"/>
        </w:rPr>
        <w:t>N</w:t>
      </w:r>
      <w:r w:rsidR="003919DE" w:rsidRPr="004C4F6D">
        <w:rPr>
          <w:rFonts w:ascii="Arial" w:eastAsia="Arial Narrow" w:hAnsi="Arial" w:cs="Arial"/>
        </w:rPr>
        <w:t xml:space="preserve">et System have caused the erroneous feedback of the remittance transactions, leading to improper crediting of recipient bank accounts. </w:t>
      </w:r>
    </w:p>
    <w:p w14:paraId="651FA484" w14:textId="77777777" w:rsidR="00312FC6" w:rsidRPr="004C4F6D" w:rsidRDefault="00312FC6" w:rsidP="004C4F6D">
      <w:pPr>
        <w:pStyle w:val="ListParagraph"/>
        <w:spacing w:after="0" w:line="240" w:lineRule="auto"/>
        <w:rPr>
          <w:rFonts w:ascii="Arial" w:eastAsia="Arial Narrow" w:hAnsi="Arial" w:cs="Arial"/>
        </w:rPr>
      </w:pPr>
    </w:p>
    <w:p w14:paraId="09F748AD" w14:textId="204D68EF"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The Due from BSP reconciling items </w:t>
      </w:r>
      <w:r w:rsidR="002F7A32" w:rsidRPr="004C4F6D">
        <w:rPr>
          <w:rFonts w:ascii="Arial" w:eastAsia="Arial Narrow" w:hAnsi="Arial" w:cs="Arial"/>
        </w:rPr>
        <w:t>amounting</w:t>
      </w:r>
      <w:r w:rsidRPr="004C4F6D">
        <w:rPr>
          <w:rFonts w:ascii="Arial" w:eastAsia="Arial Narrow" w:hAnsi="Arial" w:cs="Arial"/>
        </w:rPr>
        <w:t xml:space="preserve"> P8,319,045.91 which remained in the books for more than two years as of December 31, 2022 is not in accordance with the issued Memorandum </w:t>
      </w:r>
      <w:r w:rsidR="002F7A32" w:rsidRPr="004C4F6D">
        <w:rPr>
          <w:rFonts w:ascii="Arial" w:eastAsia="Arial Narrow" w:hAnsi="Arial" w:cs="Arial"/>
        </w:rPr>
        <w:t>requiring</w:t>
      </w:r>
      <w:r w:rsidRPr="004C4F6D">
        <w:rPr>
          <w:rFonts w:ascii="Arial" w:eastAsia="Arial Narrow" w:hAnsi="Arial" w:cs="Arial"/>
        </w:rPr>
        <w:t xml:space="preserve"> reconciling items </w:t>
      </w:r>
      <w:r w:rsidR="002F7A32" w:rsidRPr="004C4F6D">
        <w:rPr>
          <w:rFonts w:ascii="Arial" w:eastAsia="Arial Narrow" w:hAnsi="Arial" w:cs="Arial"/>
        </w:rPr>
        <w:t xml:space="preserve">to </w:t>
      </w:r>
      <w:r w:rsidRPr="004C4F6D">
        <w:rPr>
          <w:rFonts w:ascii="Arial" w:eastAsia="Arial Narrow" w:hAnsi="Arial" w:cs="Arial"/>
        </w:rPr>
        <w:t>be resolved on or before January 31, 2023.</w:t>
      </w:r>
    </w:p>
    <w:p w14:paraId="44BE40BE" w14:textId="77777777" w:rsidR="001C1F6F" w:rsidRPr="004C4F6D" w:rsidRDefault="001C1F6F" w:rsidP="004C4F6D">
      <w:pPr>
        <w:pStyle w:val="ListParagraph"/>
        <w:spacing w:after="0" w:line="240" w:lineRule="auto"/>
        <w:ind w:left="0" w:right="195"/>
        <w:jc w:val="both"/>
        <w:rPr>
          <w:rFonts w:ascii="Arial" w:eastAsia="Arial Narrow" w:hAnsi="Arial" w:cs="Arial"/>
        </w:rPr>
      </w:pPr>
    </w:p>
    <w:p w14:paraId="61453B33" w14:textId="77777777" w:rsidR="007F298B" w:rsidRPr="004C4F6D" w:rsidRDefault="007F298B" w:rsidP="004C4F6D">
      <w:pPr>
        <w:pStyle w:val="ListParagraph"/>
        <w:spacing w:after="0" w:line="240" w:lineRule="auto"/>
        <w:ind w:left="0"/>
        <w:jc w:val="both"/>
        <w:rPr>
          <w:rFonts w:ascii="Arial" w:eastAsia="Arial Narrow" w:hAnsi="Arial" w:cs="Arial"/>
          <w:b/>
          <w:bCs/>
          <w:i/>
          <w:iCs/>
        </w:rPr>
      </w:pPr>
      <w:r w:rsidRPr="004C4F6D">
        <w:rPr>
          <w:rFonts w:ascii="Arial" w:eastAsia="Arial Narrow" w:hAnsi="Arial" w:cs="Arial"/>
          <w:b/>
          <w:bCs/>
          <w:i/>
          <w:iCs/>
        </w:rPr>
        <w:t>iAccess system error amounting P1,840,780.74</w:t>
      </w:r>
    </w:p>
    <w:p w14:paraId="4377D3BD" w14:textId="77777777" w:rsidR="00312FC6" w:rsidRPr="004C4F6D" w:rsidRDefault="00312FC6" w:rsidP="004C4F6D">
      <w:pPr>
        <w:spacing w:after="0" w:line="240" w:lineRule="auto"/>
        <w:jc w:val="both"/>
        <w:rPr>
          <w:rFonts w:ascii="Arial" w:eastAsia="Arial Narrow" w:hAnsi="Arial" w:cs="Arial"/>
          <w:b/>
          <w:i/>
          <w:u w:val="single"/>
        </w:rPr>
      </w:pPr>
    </w:p>
    <w:p w14:paraId="62DCB032" w14:textId="64F725C9" w:rsidR="00312FC6"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Verification of the Schedule of Reconciliation of IBTOLS Due from/to Head Office/Branch account</w:t>
      </w:r>
      <w:r w:rsidR="007F298B" w:rsidRPr="004C4F6D">
        <w:rPr>
          <w:rFonts w:ascii="Arial" w:eastAsia="Arial Narrow" w:hAnsi="Arial" w:cs="Arial"/>
        </w:rPr>
        <w:t xml:space="preserve"> as of December 31, </w:t>
      </w:r>
      <w:r w:rsidR="00C938A8" w:rsidRPr="004C4F6D">
        <w:rPr>
          <w:rFonts w:ascii="Arial" w:eastAsia="Arial Narrow" w:hAnsi="Arial" w:cs="Arial"/>
        </w:rPr>
        <w:t>2022 disclosed</w:t>
      </w:r>
      <w:r w:rsidRPr="004C4F6D">
        <w:rPr>
          <w:rFonts w:ascii="Arial" w:eastAsia="Arial Narrow" w:hAnsi="Arial" w:cs="Arial"/>
        </w:rPr>
        <w:t xml:space="preserve"> </w:t>
      </w:r>
      <w:r w:rsidR="007F298B" w:rsidRPr="004C4F6D">
        <w:rPr>
          <w:rFonts w:ascii="Arial" w:eastAsia="Arial Narrow" w:hAnsi="Arial" w:cs="Arial"/>
        </w:rPr>
        <w:t xml:space="preserve">discrepancies amounting P2,517,037.25.  </w:t>
      </w:r>
      <w:r w:rsidRPr="004C4F6D">
        <w:rPr>
          <w:rFonts w:ascii="Arial" w:eastAsia="Arial Narrow" w:hAnsi="Arial" w:cs="Arial"/>
        </w:rPr>
        <w:t>The iAccess system error caused the discrepancy between the FMS-GL and IBTOLS-SL balance by P1,840,780.74 or 74.26 per cent of the total net discrepancy.</w:t>
      </w:r>
      <w:r w:rsidR="00A8650A" w:rsidRPr="004C4F6D">
        <w:rPr>
          <w:rFonts w:ascii="Arial" w:eastAsia="Arial Narrow" w:hAnsi="Arial" w:cs="Arial"/>
        </w:rPr>
        <w:t xml:space="preserve"> </w:t>
      </w:r>
      <w:r w:rsidRPr="004C4F6D">
        <w:rPr>
          <w:rFonts w:ascii="Arial" w:eastAsia="Arial Narrow" w:hAnsi="Arial" w:cs="Arial"/>
        </w:rPr>
        <w:t xml:space="preserve">The system error was an erroneous system credit back to the source account of unsuccessful fund transfers through PESONet authorized by LBP account holders using the iAccess, the retail e-banking channel of </w:t>
      </w:r>
      <w:r w:rsidR="00B9799F" w:rsidRPr="004C4F6D">
        <w:rPr>
          <w:rFonts w:ascii="Arial" w:eastAsia="Arial Narrow" w:hAnsi="Arial" w:cs="Arial"/>
        </w:rPr>
        <w:t>LBP</w:t>
      </w:r>
      <w:r w:rsidRPr="004C4F6D">
        <w:rPr>
          <w:rFonts w:ascii="Arial" w:eastAsia="Arial Narrow" w:hAnsi="Arial" w:cs="Arial"/>
        </w:rPr>
        <w:t>.</w:t>
      </w:r>
    </w:p>
    <w:p w14:paraId="78718C2C" w14:textId="77777777" w:rsidR="00AA1021" w:rsidRDefault="00AA1021" w:rsidP="00AA1021">
      <w:pPr>
        <w:pStyle w:val="ListParagraph"/>
        <w:spacing w:after="0" w:line="240" w:lineRule="auto"/>
        <w:ind w:left="0"/>
        <w:jc w:val="both"/>
        <w:rPr>
          <w:rFonts w:ascii="Arial" w:eastAsia="Arial Narrow" w:hAnsi="Arial" w:cs="Arial"/>
        </w:rPr>
      </w:pPr>
    </w:p>
    <w:p w14:paraId="06C57020" w14:textId="77777777" w:rsidR="00AA1021" w:rsidRPr="004C4F6D" w:rsidRDefault="00AA1021" w:rsidP="00AA1021">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The iAccess perform debiting of client’s source account immediately upon authorization/confirmation of transaction by LBP account holders. The system shall initially indicate in the Bank back office report an initial status of “Awaiting Response from the Destination Bank” and if the system receives the response within the allowable inquiry period of 3 banking days from point of debiting client’s source account for the PESONet transactions, the status should be changed by the system to “Successful” for successful transactions. In case of failed or returned transaction by the destination bank, the corresponding amount to be transferred shall be credited back by iAccess automatically to the source account. In case of no response beyond the allowable inquiry period of 3 days, the system should change the status to “Forwarded to Destination Bank” and, in this instance, FDRD validates the iAccess back office report for manual credit back to the source account.</w:t>
      </w:r>
    </w:p>
    <w:p w14:paraId="52BBFC89" w14:textId="4B428B78" w:rsidR="00312FC6" w:rsidRPr="00AA1021" w:rsidRDefault="00312FC6" w:rsidP="00AA1021">
      <w:pPr>
        <w:pStyle w:val="ListParagraph"/>
        <w:spacing w:after="0" w:line="240" w:lineRule="auto"/>
        <w:ind w:left="0"/>
        <w:jc w:val="both"/>
        <w:rPr>
          <w:rFonts w:ascii="Arial" w:eastAsia="Arial Narrow" w:hAnsi="Arial" w:cs="Arial"/>
        </w:rPr>
      </w:pPr>
    </w:p>
    <w:p w14:paraId="10D3F6FA" w14:textId="7777777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We noted however, that the status of 206 PESONet transactions from November 17, 2020 to January 26, 2021 with total amount of P2,253,108.74 remained at “Awaiting Response from the Destination Bank” status, contrary to the expected change of status within the allowable inquiry period of 3 banking days for PESONet transactions.  The amount of P2,253,108.74 to be transferred were manually credited back by FDRD to the source account in coordination with Digital Banking Management Department (DBMD), the application system administrator. However, during the batch processing on January 27, 2021 the system encountered error and performed another credit back transaction to the respective source account, hence, the corresponding amount to be transferred were credited back twice to the source accounts.</w:t>
      </w:r>
    </w:p>
    <w:p w14:paraId="2EB69B2E" w14:textId="77777777" w:rsidR="00312FC6" w:rsidRPr="004C4F6D" w:rsidRDefault="00312FC6" w:rsidP="004C4F6D">
      <w:pPr>
        <w:pStyle w:val="ListParagraph"/>
        <w:spacing w:after="0" w:line="240" w:lineRule="auto"/>
        <w:rPr>
          <w:rFonts w:ascii="Arial" w:eastAsia="Arial Narrow" w:hAnsi="Arial" w:cs="Arial"/>
        </w:rPr>
      </w:pPr>
    </w:p>
    <w:p w14:paraId="2E6BFCB1" w14:textId="46ADDDCC"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FDRD informed </w:t>
      </w:r>
      <w:r w:rsidR="00A8650A" w:rsidRPr="004C4F6D">
        <w:rPr>
          <w:rFonts w:ascii="Arial" w:eastAsia="Arial Narrow" w:hAnsi="Arial" w:cs="Arial"/>
        </w:rPr>
        <w:t xml:space="preserve">thru email the DBMD on January 28, 2021 of </w:t>
      </w:r>
      <w:r w:rsidRPr="004C4F6D">
        <w:rPr>
          <w:rFonts w:ascii="Arial" w:eastAsia="Arial Narrow" w:hAnsi="Arial" w:cs="Arial"/>
        </w:rPr>
        <w:t xml:space="preserve">the incident </w:t>
      </w:r>
      <w:r w:rsidR="00A8650A" w:rsidRPr="004C4F6D">
        <w:rPr>
          <w:rFonts w:ascii="Arial" w:eastAsia="Arial Narrow" w:hAnsi="Arial" w:cs="Arial"/>
        </w:rPr>
        <w:t xml:space="preserve">in paragraph 11.23 </w:t>
      </w:r>
      <w:r w:rsidRPr="004C4F6D">
        <w:rPr>
          <w:rFonts w:ascii="Arial" w:eastAsia="Arial Narrow" w:hAnsi="Arial" w:cs="Arial"/>
        </w:rPr>
        <w:t>with list of affected transactions</w:t>
      </w:r>
      <w:r w:rsidR="00A8650A" w:rsidRPr="004C4F6D">
        <w:rPr>
          <w:rFonts w:ascii="Arial" w:eastAsia="Arial Narrow" w:hAnsi="Arial" w:cs="Arial"/>
        </w:rPr>
        <w:t>.</w:t>
      </w:r>
      <w:r w:rsidRPr="004C4F6D">
        <w:rPr>
          <w:rFonts w:ascii="Arial" w:eastAsia="Arial Narrow" w:hAnsi="Arial" w:cs="Arial"/>
        </w:rPr>
        <w:t xml:space="preserve"> </w:t>
      </w:r>
      <w:r w:rsidR="00661743" w:rsidRPr="004C4F6D">
        <w:rPr>
          <w:rFonts w:ascii="Arial" w:eastAsia="Arial Narrow" w:hAnsi="Arial" w:cs="Arial"/>
        </w:rPr>
        <w:t xml:space="preserve">DBMD issued </w:t>
      </w:r>
      <w:r w:rsidRPr="004C4F6D">
        <w:rPr>
          <w:rFonts w:ascii="Arial" w:eastAsia="Arial Narrow" w:hAnsi="Arial" w:cs="Arial"/>
        </w:rPr>
        <w:t>a memorandum dated March 01, 2021 to the concerned branches of the affected LBP account</w:t>
      </w:r>
      <w:r w:rsidR="00661743" w:rsidRPr="004C4F6D">
        <w:rPr>
          <w:rFonts w:ascii="Arial" w:eastAsia="Arial Narrow" w:hAnsi="Arial" w:cs="Arial"/>
        </w:rPr>
        <w:t>s</w:t>
      </w:r>
      <w:r w:rsidRPr="004C4F6D">
        <w:rPr>
          <w:rFonts w:ascii="Arial" w:eastAsia="Arial Narrow" w:hAnsi="Arial" w:cs="Arial"/>
        </w:rPr>
        <w:t xml:space="preserve"> informing the incident and requesting to observe the following procedures: a) Validate any double credit </w:t>
      </w:r>
      <w:r w:rsidRPr="004C4F6D">
        <w:rPr>
          <w:rFonts w:ascii="Arial" w:eastAsia="Arial Narrow" w:hAnsi="Arial" w:cs="Arial"/>
        </w:rPr>
        <w:lastRenderedPageBreak/>
        <w:t>to the account based on the list, b) Debit the source account and c) Originate debit IOA contra FDRD. This was reiterated by FDRD in a memo dated November 16, 2022. As of December 31, 2022, a sum of P412,328.00 was collected leaving a balance of P1,840,780.74. FDRD mentioned that the collectibility of the balance depends on the available balance of the account holder</w:t>
      </w:r>
      <w:r w:rsidR="00953F65" w:rsidRPr="004C4F6D">
        <w:rPr>
          <w:rFonts w:ascii="Arial" w:eastAsia="Arial Narrow" w:hAnsi="Arial" w:cs="Arial"/>
        </w:rPr>
        <w:t xml:space="preserve">, </w:t>
      </w:r>
      <w:r w:rsidR="006248AF" w:rsidRPr="004C4F6D">
        <w:rPr>
          <w:rFonts w:ascii="Arial" w:eastAsia="Arial Narrow" w:hAnsi="Arial" w:cs="Arial"/>
        </w:rPr>
        <w:t xml:space="preserve">or </w:t>
      </w:r>
      <w:r w:rsidRPr="004C4F6D">
        <w:rPr>
          <w:rFonts w:ascii="Arial" w:eastAsia="Arial Narrow" w:hAnsi="Arial" w:cs="Arial"/>
        </w:rPr>
        <w:t xml:space="preserve">the account has either no balance, or a closed account or account holder can no longer be contacted.    </w:t>
      </w:r>
    </w:p>
    <w:p w14:paraId="7FC9E8FD" w14:textId="77777777" w:rsidR="00312FC6" w:rsidRPr="004C4F6D" w:rsidRDefault="00312FC6" w:rsidP="004C4F6D">
      <w:pPr>
        <w:pStyle w:val="ListParagraph"/>
        <w:spacing w:after="0" w:line="240" w:lineRule="auto"/>
        <w:rPr>
          <w:rFonts w:ascii="Arial" w:eastAsia="Arial Narrow" w:hAnsi="Arial" w:cs="Arial"/>
        </w:rPr>
      </w:pPr>
    </w:p>
    <w:p w14:paraId="7FFC382E" w14:textId="1722B819"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It was further noted that no other contingency measures </w:t>
      </w:r>
      <w:r w:rsidR="006248AF" w:rsidRPr="004C4F6D">
        <w:rPr>
          <w:rFonts w:ascii="Arial" w:eastAsia="Arial Narrow" w:hAnsi="Arial" w:cs="Arial"/>
        </w:rPr>
        <w:t xml:space="preserve">were </w:t>
      </w:r>
      <w:r w:rsidRPr="004C4F6D">
        <w:rPr>
          <w:rFonts w:ascii="Arial" w:eastAsia="Arial Narrow" w:hAnsi="Arial" w:cs="Arial"/>
        </w:rPr>
        <w:t>undertaken to reverse the erroneous credit back to the source account performed by the iAccess system such as manual debiting of the affected source account or halting the withdrawal considering that the affected accounts were immediately accounted, contrary to Section D.1, Application System Incident Management, of LBP Executive Order No. 088.</w:t>
      </w:r>
    </w:p>
    <w:p w14:paraId="0A0429BC" w14:textId="77777777" w:rsidR="00312FC6" w:rsidRPr="004C4F6D" w:rsidRDefault="00312FC6" w:rsidP="004C4F6D">
      <w:pPr>
        <w:pStyle w:val="ListParagraph"/>
        <w:spacing w:after="0" w:line="240" w:lineRule="auto"/>
        <w:rPr>
          <w:rFonts w:ascii="Arial" w:eastAsia="Arial Narrow" w:hAnsi="Arial" w:cs="Arial"/>
          <w:bCs/>
        </w:rPr>
      </w:pPr>
    </w:p>
    <w:p w14:paraId="1AD74BBC" w14:textId="55725E30" w:rsidR="00FB148C" w:rsidRPr="004C4F6D" w:rsidRDefault="00FB148C" w:rsidP="004C4F6D">
      <w:pPr>
        <w:pStyle w:val="ListParagraph"/>
        <w:numPr>
          <w:ilvl w:val="1"/>
          <w:numId w:val="42"/>
        </w:numPr>
        <w:spacing w:after="0" w:line="240" w:lineRule="auto"/>
        <w:ind w:left="0" w:right="195" w:firstLine="0"/>
        <w:jc w:val="both"/>
        <w:rPr>
          <w:rFonts w:ascii="Arial" w:eastAsia="Arial Narrow" w:hAnsi="Arial" w:cs="Arial"/>
          <w:bCs/>
        </w:rPr>
      </w:pPr>
      <w:r w:rsidRPr="004C4F6D">
        <w:rPr>
          <w:rFonts w:ascii="Arial" w:eastAsia="Arial Narrow" w:hAnsi="Arial" w:cs="Arial"/>
          <w:bCs/>
        </w:rPr>
        <w:t>System issues and errors related to InstaPay, PESOnet, BancNet, and iAccess, which were not immediately resolved resulted to long outstanding receivables of P16,859,061.65 as at December 31, 2022, contrary to policy on immediate collection of A/R under LBP A</w:t>
      </w:r>
      <w:r w:rsidR="00037989" w:rsidRPr="004C4F6D">
        <w:rPr>
          <w:rFonts w:ascii="Arial" w:eastAsia="Arial Narrow" w:hAnsi="Arial" w:cs="Arial"/>
          <w:bCs/>
        </w:rPr>
        <w:t>O</w:t>
      </w:r>
      <w:r w:rsidRPr="004C4F6D">
        <w:rPr>
          <w:rFonts w:ascii="Arial" w:eastAsia="Arial Narrow" w:hAnsi="Arial" w:cs="Arial"/>
          <w:bCs/>
        </w:rPr>
        <w:t xml:space="preserve"> No. 018, and immediate resolution under LBP EO No. 088, which exposed the Bank to risks of unrecoverable losses.</w:t>
      </w:r>
    </w:p>
    <w:p w14:paraId="642E6F4A" w14:textId="77777777" w:rsidR="00FB148C" w:rsidRPr="004C4F6D" w:rsidRDefault="00FB148C" w:rsidP="004C4F6D">
      <w:pPr>
        <w:pStyle w:val="ListParagraph"/>
        <w:spacing w:after="0" w:line="240" w:lineRule="auto"/>
        <w:ind w:left="0" w:right="195"/>
        <w:jc w:val="both"/>
        <w:rPr>
          <w:rFonts w:ascii="Arial" w:eastAsia="Arial Narrow" w:hAnsi="Arial" w:cs="Arial"/>
          <w:b/>
        </w:rPr>
      </w:pPr>
    </w:p>
    <w:p w14:paraId="5CC1CFDC" w14:textId="1F944B47" w:rsidR="00312FC6" w:rsidRPr="004C4F6D" w:rsidRDefault="00061E17" w:rsidP="004C4F6D">
      <w:pPr>
        <w:pStyle w:val="ListParagraph"/>
        <w:numPr>
          <w:ilvl w:val="1"/>
          <w:numId w:val="42"/>
        </w:numPr>
        <w:spacing w:after="0" w:line="240" w:lineRule="auto"/>
        <w:ind w:left="0" w:right="195" w:firstLine="0"/>
        <w:jc w:val="both"/>
        <w:rPr>
          <w:rFonts w:ascii="Arial" w:eastAsia="Arial Narrow" w:hAnsi="Arial" w:cs="Arial"/>
          <w:b/>
        </w:rPr>
      </w:pPr>
      <w:r w:rsidRPr="004C4F6D">
        <w:rPr>
          <w:rFonts w:ascii="Arial" w:eastAsia="Arial Narrow" w:hAnsi="Arial" w:cs="Arial"/>
          <w:b/>
        </w:rPr>
        <w:t>We recommended and Management agreed:</w:t>
      </w:r>
    </w:p>
    <w:p w14:paraId="12501E77" w14:textId="77777777" w:rsidR="00312FC6" w:rsidRPr="004C4F6D" w:rsidRDefault="00312FC6" w:rsidP="004C4F6D">
      <w:pPr>
        <w:pStyle w:val="ListParagraph"/>
        <w:spacing w:after="0" w:line="240" w:lineRule="auto"/>
        <w:ind w:left="0" w:right="195"/>
        <w:jc w:val="both"/>
        <w:rPr>
          <w:rFonts w:ascii="Arial" w:eastAsia="Arial Narrow" w:hAnsi="Arial" w:cs="Arial"/>
          <w:b/>
        </w:rPr>
      </w:pPr>
    </w:p>
    <w:p w14:paraId="26AD7228" w14:textId="1718B597" w:rsidR="00312FC6" w:rsidRPr="004C4F6D" w:rsidRDefault="003919DE" w:rsidP="004C4F6D">
      <w:pPr>
        <w:numPr>
          <w:ilvl w:val="0"/>
          <w:numId w:val="29"/>
        </w:numPr>
        <w:spacing w:after="0" w:line="240" w:lineRule="auto"/>
        <w:ind w:left="720" w:firstLine="0"/>
        <w:jc w:val="both"/>
        <w:rPr>
          <w:rFonts w:ascii="Arial" w:eastAsia="Arial Narrow" w:hAnsi="Arial" w:cs="Arial"/>
          <w:b/>
          <w:lang w:eastAsia="en-PH"/>
        </w:rPr>
      </w:pPr>
      <w:r w:rsidRPr="004C4F6D">
        <w:rPr>
          <w:rFonts w:ascii="Arial" w:eastAsia="Arial Narrow" w:hAnsi="Arial" w:cs="Arial"/>
          <w:b/>
          <w:lang w:eastAsia="en-PH"/>
        </w:rPr>
        <w:t xml:space="preserve">For </w:t>
      </w:r>
      <w:r w:rsidRPr="004C4F6D">
        <w:rPr>
          <w:rFonts w:ascii="Arial" w:eastAsia="Times New Roman" w:hAnsi="Arial" w:cs="Arial"/>
          <w:b/>
          <w:bCs/>
          <w:lang w:eastAsia="en-PH"/>
        </w:rPr>
        <w:t>the</w:t>
      </w:r>
      <w:r w:rsidRPr="004C4F6D">
        <w:rPr>
          <w:rFonts w:ascii="Arial" w:eastAsia="Arial Narrow" w:hAnsi="Arial" w:cs="Arial"/>
          <w:b/>
          <w:bCs/>
          <w:lang w:eastAsia="en-PH"/>
        </w:rPr>
        <w:t xml:space="preserve"> AOSD and FDRD, in coordination with the concerned branches to expedite reconciliation</w:t>
      </w:r>
      <w:r w:rsidRPr="004C4F6D">
        <w:rPr>
          <w:rFonts w:ascii="Arial" w:eastAsia="Arial Narrow" w:hAnsi="Arial" w:cs="Arial"/>
          <w:b/>
          <w:lang w:eastAsia="en-PH"/>
        </w:rPr>
        <w:t xml:space="preserve"> and collection of the receivables resulting from system issues and errors;</w:t>
      </w:r>
    </w:p>
    <w:p w14:paraId="6701217A" w14:textId="77777777" w:rsidR="00312FC6" w:rsidRPr="004C4F6D" w:rsidRDefault="00312FC6" w:rsidP="004C4F6D">
      <w:pPr>
        <w:spacing w:after="0" w:line="240" w:lineRule="auto"/>
        <w:ind w:left="720" w:right="80"/>
        <w:jc w:val="both"/>
        <w:rPr>
          <w:rFonts w:ascii="Arial" w:eastAsia="Arial Narrow" w:hAnsi="Arial" w:cs="Arial"/>
          <w:b/>
          <w:lang w:eastAsia="en-PH"/>
        </w:rPr>
      </w:pPr>
    </w:p>
    <w:p w14:paraId="5E9C5F1C" w14:textId="788807B3" w:rsidR="00A03198" w:rsidRPr="004C4F6D" w:rsidRDefault="003919DE" w:rsidP="004C4F6D">
      <w:pPr>
        <w:numPr>
          <w:ilvl w:val="0"/>
          <w:numId w:val="29"/>
        </w:numPr>
        <w:spacing w:after="0" w:line="240" w:lineRule="auto"/>
        <w:ind w:left="720" w:firstLine="0"/>
        <w:jc w:val="both"/>
        <w:rPr>
          <w:rFonts w:ascii="Arial" w:eastAsia="Arial Narrow" w:hAnsi="Arial" w:cs="Arial"/>
          <w:b/>
          <w:lang w:eastAsia="en-PH"/>
        </w:rPr>
      </w:pPr>
      <w:r w:rsidRPr="004C4F6D">
        <w:rPr>
          <w:rFonts w:ascii="Arial" w:eastAsia="Arial Narrow" w:hAnsi="Arial" w:cs="Arial"/>
          <w:b/>
          <w:lang w:eastAsia="en-PH"/>
        </w:rPr>
        <w:t>For the DBMD to</w:t>
      </w:r>
      <w:r w:rsidR="00A03198" w:rsidRPr="004C4F6D">
        <w:rPr>
          <w:rFonts w:ascii="Arial" w:eastAsia="Arial Narrow" w:hAnsi="Arial" w:cs="Arial"/>
          <w:b/>
          <w:lang w:eastAsia="en-PH"/>
        </w:rPr>
        <w:t>:</w:t>
      </w:r>
    </w:p>
    <w:p w14:paraId="2FF99708" w14:textId="77777777" w:rsidR="00A03198" w:rsidRPr="004C4F6D" w:rsidRDefault="00A03198" w:rsidP="004C4F6D">
      <w:pPr>
        <w:pStyle w:val="NoSpacing"/>
        <w:rPr>
          <w:lang w:eastAsia="en-PH"/>
        </w:rPr>
      </w:pPr>
    </w:p>
    <w:p w14:paraId="316E20F5" w14:textId="2C58FDDA" w:rsidR="00312FC6" w:rsidRPr="004C4F6D" w:rsidRDefault="00A03198" w:rsidP="004C4F6D">
      <w:pPr>
        <w:spacing w:after="0" w:line="240" w:lineRule="auto"/>
        <w:ind w:left="1418"/>
        <w:jc w:val="both"/>
        <w:rPr>
          <w:rFonts w:ascii="Arial" w:eastAsia="Arial Narrow" w:hAnsi="Arial" w:cs="Arial"/>
          <w:b/>
          <w:lang w:eastAsia="en-PH"/>
        </w:rPr>
      </w:pPr>
      <w:r w:rsidRPr="004C4F6D">
        <w:rPr>
          <w:rFonts w:ascii="Arial" w:eastAsia="Arial Narrow" w:hAnsi="Arial" w:cs="Arial"/>
          <w:b/>
          <w:lang w:eastAsia="en-PH"/>
        </w:rPr>
        <w:t>b.1 Identify</w:t>
      </w:r>
      <w:r w:rsidR="003919DE" w:rsidRPr="004C4F6D">
        <w:rPr>
          <w:rFonts w:ascii="Arial" w:eastAsia="Arial Narrow" w:hAnsi="Arial" w:cs="Arial"/>
          <w:b/>
          <w:lang w:eastAsia="en-PH"/>
        </w:rPr>
        <w:t xml:space="preserve"> and resolve within specified timelines, system issues/glitches to prevent accumulation of long outstanding Accounts Receivable; and</w:t>
      </w:r>
    </w:p>
    <w:p w14:paraId="68F33676" w14:textId="77777777" w:rsidR="00312FC6" w:rsidRPr="004C4F6D" w:rsidRDefault="00312FC6" w:rsidP="004C4F6D">
      <w:pPr>
        <w:spacing w:after="0" w:line="240" w:lineRule="auto"/>
        <w:ind w:right="80"/>
        <w:jc w:val="both"/>
        <w:rPr>
          <w:rFonts w:ascii="Arial" w:eastAsia="Arial Narrow" w:hAnsi="Arial" w:cs="Arial"/>
          <w:b/>
          <w:lang w:eastAsia="en-PH"/>
        </w:rPr>
      </w:pPr>
    </w:p>
    <w:p w14:paraId="557D3671" w14:textId="58D3F894" w:rsidR="00312FC6" w:rsidRPr="004C4F6D" w:rsidRDefault="006460E1" w:rsidP="004C4F6D">
      <w:pPr>
        <w:spacing w:after="0" w:line="240" w:lineRule="auto"/>
        <w:ind w:left="1418"/>
        <w:jc w:val="both"/>
        <w:rPr>
          <w:rFonts w:ascii="Arial" w:eastAsia="Arial Narrow" w:hAnsi="Arial" w:cs="Arial"/>
          <w:b/>
          <w:lang w:eastAsia="en-PH"/>
        </w:rPr>
      </w:pPr>
      <w:r w:rsidRPr="004C4F6D">
        <w:rPr>
          <w:rFonts w:ascii="Arial" w:eastAsia="Arial Narrow" w:hAnsi="Arial" w:cs="Arial"/>
          <w:b/>
          <w:lang w:eastAsia="en-PH"/>
        </w:rPr>
        <w:t>b.2 Immediately</w:t>
      </w:r>
      <w:r w:rsidR="003919DE" w:rsidRPr="004C4F6D">
        <w:rPr>
          <w:rFonts w:ascii="Arial" w:eastAsia="Arial Narrow" w:hAnsi="Arial" w:cs="Arial"/>
          <w:b/>
          <w:lang w:eastAsia="en-PH"/>
        </w:rPr>
        <w:t xml:space="preserve"> respond to Application System-related incidents reported by system users through SFF and perform remedial steps (manual/procedural solution) or work-around procedures, in instances of system failure.</w:t>
      </w:r>
    </w:p>
    <w:p w14:paraId="3F9E6445" w14:textId="77777777" w:rsidR="00312FC6" w:rsidRPr="004C4F6D" w:rsidRDefault="00312FC6" w:rsidP="004C4F6D">
      <w:pPr>
        <w:pStyle w:val="NoSpacing"/>
        <w:jc w:val="both"/>
        <w:rPr>
          <w:rFonts w:ascii="Arial" w:hAnsi="Arial" w:cs="Arial"/>
        </w:rPr>
      </w:pPr>
    </w:p>
    <w:p w14:paraId="5F2466F4" w14:textId="4C39C5A9" w:rsidR="00312FC6" w:rsidRPr="004C4F6D" w:rsidRDefault="00B129FA" w:rsidP="004C4F6D">
      <w:pPr>
        <w:pStyle w:val="ListParagraph"/>
        <w:numPr>
          <w:ilvl w:val="1"/>
          <w:numId w:val="42"/>
        </w:numPr>
        <w:spacing w:after="0" w:line="240" w:lineRule="auto"/>
        <w:ind w:left="0" w:right="7" w:firstLine="0"/>
        <w:jc w:val="both"/>
        <w:rPr>
          <w:rFonts w:ascii="Arial" w:hAnsi="Arial" w:cs="Arial"/>
        </w:rPr>
      </w:pPr>
      <w:r w:rsidRPr="004C4F6D">
        <w:rPr>
          <w:rFonts w:ascii="Arial" w:hAnsi="Arial" w:cs="Arial"/>
        </w:rPr>
        <w:t>Management informed that</w:t>
      </w:r>
      <w:r w:rsidR="003919DE" w:rsidRPr="004C4F6D">
        <w:rPr>
          <w:rFonts w:ascii="Arial" w:hAnsi="Arial" w:cs="Arial"/>
        </w:rPr>
        <w:t xml:space="preserve"> the outstanding A/R pertaining to IBFT/InstaPay and chare-back transactions </w:t>
      </w:r>
      <w:r w:rsidRPr="004C4F6D">
        <w:rPr>
          <w:rFonts w:ascii="Arial" w:hAnsi="Arial" w:cs="Arial"/>
        </w:rPr>
        <w:t xml:space="preserve">have </w:t>
      </w:r>
      <w:r w:rsidR="003919DE" w:rsidRPr="004C4F6D">
        <w:rPr>
          <w:rFonts w:ascii="Arial" w:hAnsi="Arial" w:cs="Arial"/>
        </w:rPr>
        <w:t>decreased to P1,292,672.00 from P1,732,854.00, and to 204,032.00 from P4,966,381.00, respectively</w:t>
      </w:r>
      <w:r w:rsidRPr="004C4F6D">
        <w:rPr>
          <w:rFonts w:ascii="Arial" w:hAnsi="Arial" w:cs="Arial"/>
        </w:rPr>
        <w:t>, as of June 30, 2023.</w:t>
      </w:r>
      <w:r w:rsidR="00FB148C" w:rsidRPr="004C4F6D">
        <w:rPr>
          <w:rFonts w:ascii="Arial" w:hAnsi="Arial" w:cs="Arial"/>
        </w:rPr>
        <w:t xml:space="preserve">  </w:t>
      </w:r>
      <w:r w:rsidR="003919DE" w:rsidRPr="004C4F6D">
        <w:rPr>
          <w:rFonts w:ascii="Arial" w:hAnsi="Arial" w:cs="Arial"/>
        </w:rPr>
        <w:t>Also, of the total float items on BSP debit</w:t>
      </w:r>
      <w:r w:rsidR="00570E74" w:rsidRPr="004C4F6D">
        <w:rPr>
          <w:rFonts w:ascii="Arial" w:hAnsi="Arial" w:cs="Arial"/>
        </w:rPr>
        <w:t>s</w:t>
      </w:r>
      <w:r w:rsidR="003919DE" w:rsidRPr="004C4F6D">
        <w:rPr>
          <w:rFonts w:ascii="Arial" w:hAnsi="Arial" w:cs="Arial"/>
        </w:rPr>
        <w:t xml:space="preserve"> not in </w:t>
      </w:r>
      <w:r w:rsidR="00570E74" w:rsidRPr="004C4F6D">
        <w:rPr>
          <w:rFonts w:ascii="Arial" w:hAnsi="Arial" w:cs="Arial"/>
        </w:rPr>
        <w:t xml:space="preserve">LBP </w:t>
      </w:r>
      <w:r w:rsidR="003919DE" w:rsidRPr="004C4F6D">
        <w:rPr>
          <w:rFonts w:ascii="Arial" w:hAnsi="Arial" w:cs="Arial"/>
        </w:rPr>
        <w:t>books amounting to P8,319,045.91, the remaining outstanding balance is P7,119,270.34 classified to Accounts Receivable – Various.</w:t>
      </w:r>
      <w:r w:rsidR="00A43E06" w:rsidRPr="004C4F6D">
        <w:rPr>
          <w:rFonts w:ascii="Arial" w:hAnsi="Arial" w:cs="Arial"/>
        </w:rPr>
        <w:t xml:space="preserve"> Other actions are being undertaken by </w:t>
      </w:r>
      <w:r w:rsidR="00B125A8" w:rsidRPr="004C4F6D">
        <w:rPr>
          <w:rFonts w:ascii="Arial" w:hAnsi="Arial" w:cs="Arial"/>
        </w:rPr>
        <w:t>management to</w:t>
      </w:r>
      <w:r w:rsidR="00A43E06" w:rsidRPr="004C4F6D">
        <w:rPr>
          <w:rFonts w:ascii="Arial" w:hAnsi="Arial" w:cs="Arial"/>
        </w:rPr>
        <w:t xml:space="preserve"> implement the recommendations.</w:t>
      </w:r>
    </w:p>
    <w:p w14:paraId="1D526D2E" w14:textId="2BE81F44" w:rsidR="00312FC6" w:rsidRPr="004C4F6D" w:rsidRDefault="00312FC6" w:rsidP="004C4F6D">
      <w:pPr>
        <w:pStyle w:val="ListParagraph"/>
        <w:spacing w:after="0" w:line="240" w:lineRule="auto"/>
        <w:ind w:left="0"/>
        <w:jc w:val="both"/>
        <w:rPr>
          <w:rFonts w:ascii="Arial" w:eastAsia="Arial Narrow" w:hAnsi="Arial" w:cs="Arial"/>
          <w:color w:val="000000"/>
          <w:lang w:eastAsia="en-PH"/>
        </w:rPr>
      </w:pPr>
    </w:p>
    <w:p w14:paraId="7E334078" w14:textId="77777777" w:rsidR="00312FC6" w:rsidRPr="004C4F6D" w:rsidRDefault="00312FC6" w:rsidP="004C4F6D">
      <w:pPr>
        <w:pStyle w:val="ListParagraph"/>
        <w:spacing w:after="0" w:line="240" w:lineRule="auto"/>
        <w:ind w:left="0"/>
        <w:jc w:val="both"/>
        <w:rPr>
          <w:rFonts w:ascii="Arial" w:eastAsia="Arial Narrow" w:hAnsi="Arial" w:cs="Arial"/>
          <w:color w:val="000000"/>
          <w:lang w:eastAsia="en-PH"/>
        </w:rPr>
      </w:pPr>
    </w:p>
    <w:p w14:paraId="0F3D35BB" w14:textId="6BA46D2B" w:rsidR="00312FC6" w:rsidRPr="004C4F6D" w:rsidRDefault="004B031C" w:rsidP="004C4F6D">
      <w:pPr>
        <w:numPr>
          <w:ilvl w:val="0"/>
          <w:numId w:val="35"/>
        </w:numPr>
        <w:spacing w:after="0" w:line="240" w:lineRule="auto"/>
        <w:ind w:left="0" w:firstLine="0"/>
        <w:jc w:val="both"/>
        <w:rPr>
          <w:rFonts w:ascii="Arial" w:eastAsia="Arial Narrow" w:hAnsi="Arial" w:cs="Arial"/>
        </w:rPr>
      </w:pPr>
      <w:r w:rsidRPr="004C4F6D">
        <w:rPr>
          <w:rFonts w:ascii="Arial" w:eastAsia="Arial Narrow" w:hAnsi="Arial" w:cs="Arial"/>
          <w:b/>
        </w:rPr>
        <w:t>Management</w:t>
      </w:r>
      <w:r w:rsidR="003919DE" w:rsidRPr="004C4F6D">
        <w:rPr>
          <w:rFonts w:ascii="Arial" w:eastAsia="Arial Narrow" w:hAnsi="Arial" w:cs="Arial"/>
          <w:b/>
        </w:rPr>
        <w:t xml:space="preserve"> of Accounts Payable (A/P) </w:t>
      </w:r>
      <w:r w:rsidR="001A1277" w:rsidRPr="004C4F6D">
        <w:rPr>
          <w:rFonts w:ascii="Arial" w:eastAsia="Arial Narrow" w:hAnsi="Arial" w:cs="Arial"/>
          <w:b/>
        </w:rPr>
        <w:t>as outlined in</w:t>
      </w:r>
      <w:r w:rsidR="003919DE" w:rsidRPr="004C4F6D">
        <w:rPr>
          <w:rFonts w:ascii="Arial" w:eastAsia="Arial Narrow" w:hAnsi="Arial" w:cs="Arial"/>
          <w:b/>
        </w:rPr>
        <w:t xml:space="preserve"> LBP Executive Order (EO) No. 47 series of 2021</w:t>
      </w:r>
      <w:r w:rsidR="001A1277" w:rsidRPr="004C4F6D">
        <w:rPr>
          <w:rFonts w:ascii="Arial" w:eastAsia="Arial Narrow" w:hAnsi="Arial" w:cs="Arial"/>
          <w:b/>
        </w:rPr>
        <w:t xml:space="preserve"> was not complied,</w:t>
      </w:r>
      <w:r w:rsidR="003919DE" w:rsidRPr="004C4F6D">
        <w:rPr>
          <w:rFonts w:ascii="Arial" w:eastAsia="Arial Narrow" w:hAnsi="Arial" w:cs="Arial"/>
          <w:b/>
        </w:rPr>
        <w:t xml:space="preserve"> resulting </w:t>
      </w:r>
      <w:r w:rsidR="001A1277" w:rsidRPr="004C4F6D">
        <w:rPr>
          <w:rFonts w:ascii="Arial" w:eastAsia="Arial Narrow" w:hAnsi="Arial" w:cs="Arial"/>
          <w:b/>
        </w:rPr>
        <w:t>in</w:t>
      </w:r>
      <w:r w:rsidR="003919DE" w:rsidRPr="004C4F6D">
        <w:rPr>
          <w:rFonts w:ascii="Arial" w:eastAsia="Arial Narrow" w:hAnsi="Arial" w:cs="Arial"/>
          <w:b/>
        </w:rPr>
        <w:t xml:space="preserve"> accumulation of payables in the Branches totaling P143</w:t>
      </w:r>
      <w:r w:rsidR="005D02BA">
        <w:rPr>
          <w:rFonts w:ascii="Arial" w:eastAsia="Arial Narrow" w:hAnsi="Arial" w:cs="Arial"/>
          <w:b/>
        </w:rPr>
        <w:t>.</w:t>
      </w:r>
      <w:r w:rsidR="003919DE" w:rsidRPr="004C4F6D">
        <w:rPr>
          <w:rFonts w:ascii="Arial" w:eastAsia="Arial Narrow" w:hAnsi="Arial" w:cs="Arial"/>
          <w:b/>
        </w:rPr>
        <w:t>1</w:t>
      </w:r>
      <w:r w:rsidR="001A1277" w:rsidRPr="004C4F6D">
        <w:rPr>
          <w:rFonts w:ascii="Arial" w:eastAsia="Arial Narrow" w:hAnsi="Arial" w:cs="Arial"/>
          <w:b/>
        </w:rPr>
        <w:t>10 million</w:t>
      </w:r>
      <w:r w:rsidR="003919DE" w:rsidRPr="004C4F6D">
        <w:rPr>
          <w:rFonts w:ascii="Arial" w:eastAsia="Arial Narrow" w:hAnsi="Arial" w:cs="Arial"/>
          <w:b/>
        </w:rPr>
        <w:t>, outstanding for more than one (1) to twenty-eight (28) years as of December 31, 2022.</w:t>
      </w:r>
    </w:p>
    <w:p w14:paraId="3A42FD68" w14:textId="1BBC74A3" w:rsidR="00312FC6" w:rsidRDefault="00312FC6" w:rsidP="004C4F6D">
      <w:pPr>
        <w:pStyle w:val="ListParagraph"/>
        <w:spacing w:after="0" w:line="240" w:lineRule="auto"/>
        <w:ind w:left="0" w:right="133"/>
        <w:jc w:val="both"/>
        <w:rPr>
          <w:rFonts w:ascii="Arial" w:eastAsia="Arial Narrow" w:hAnsi="Arial" w:cs="Arial"/>
        </w:rPr>
      </w:pPr>
    </w:p>
    <w:p w14:paraId="27D3624A" w14:textId="29EE3F73" w:rsidR="006E3D1D" w:rsidRDefault="006E3D1D" w:rsidP="004C4F6D">
      <w:pPr>
        <w:pStyle w:val="ListParagraph"/>
        <w:spacing w:after="0" w:line="240" w:lineRule="auto"/>
        <w:ind w:left="0" w:right="133"/>
        <w:jc w:val="both"/>
        <w:rPr>
          <w:rFonts w:ascii="Arial" w:eastAsia="Arial Narrow" w:hAnsi="Arial" w:cs="Arial"/>
        </w:rPr>
      </w:pPr>
    </w:p>
    <w:p w14:paraId="37005AA5" w14:textId="77777777" w:rsidR="00312FC6" w:rsidRPr="004C4F6D" w:rsidRDefault="00312FC6" w:rsidP="004C4F6D">
      <w:pPr>
        <w:pStyle w:val="ListParagraph"/>
        <w:numPr>
          <w:ilvl w:val="0"/>
          <w:numId w:val="42"/>
        </w:numPr>
        <w:spacing w:after="0" w:line="240" w:lineRule="auto"/>
        <w:jc w:val="both"/>
        <w:rPr>
          <w:rFonts w:ascii="Arial" w:eastAsia="Arial Narrow" w:hAnsi="Arial" w:cs="Arial"/>
          <w:vanish/>
          <w:color w:val="000000"/>
          <w:lang w:eastAsia="en-PH"/>
        </w:rPr>
      </w:pPr>
    </w:p>
    <w:p w14:paraId="23A239F2" w14:textId="2F376154"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lang w:eastAsia="en-PH"/>
        </w:rPr>
      </w:pPr>
      <w:r w:rsidRPr="004C4F6D">
        <w:rPr>
          <w:rFonts w:ascii="Arial" w:eastAsia="Arial Narrow" w:hAnsi="Arial" w:cs="Arial"/>
          <w:color w:val="000000"/>
          <w:lang w:eastAsia="en-PH"/>
        </w:rPr>
        <w:t xml:space="preserve">Section A of LBP EO No. 047 series of 2021 on Guidelines </w:t>
      </w:r>
      <w:r w:rsidR="009F7051" w:rsidRPr="004C4F6D">
        <w:rPr>
          <w:rFonts w:ascii="Arial" w:eastAsia="Arial Narrow" w:hAnsi="Arial" w:cs="Arial"/>
          <w:color w:val="000000"/>
          <w:lang w:eastAsia="en-PH"/>
        </w:rPr>
        <w:t>i</w:t>
      </w:r>
      <w:r w:rsidRPr="004C4F6D">
        <w:rPr>
          <w:rFonts w:ascii="Arial" w:eastAsia="Arial Narrow" w:hAnsi="Arial" w:cs="Arial"/>
          <w:color w:val="000000"/>
          <w:lang w:eastAsia="en-PH"/>
        </w:rPr>
        <w:t xml:space="preserve">n Handling of Accounts Payable – Definition of Terms defines </w:t>
      </w:r>
      <w:r w:rsidRPr="004C4F6D">
        <w:rPr>
          <w:rFonts w:ascii="Arial" w:eastAsia="Arial Narrow" w:hAnsi="Arial" w:cs="Arial"/>
          <w:b/>
          <w:i/>
          <w:color w:val="000000"/>
          <w:lang w:eastAsia="en-PH"/>
        </w:rPr>
        <w:t>Accounts Payable</w:t>
      </w:r>
      <w:r w:rsidRPr="004C4F6D">
        <w:rPr>
          <w:rFonts w:ascii="Arial" w:eastAsia="Arial Narrow" w:hAnsi="Arial" w:cs="Arial"/>
          <w:color w:val="000000"/>
          <w:lang w:eastAsia="en-PH"/>
        </w:rPr>
        <w:t xml:space="preserve"> as:</w:t>
      </w:r>
    </w:p>
    <w:p w14:paraId="2195AFC4" w14:textId="77777777" w:rsidR="00312FC6" w:rsidRPr="004C4F6D" w:rsidRDefault="00312FC6" w:rsidP="004C4F6D">
      <w:pPr>
        <w:spacing w:after="0" w:line="240" w:lineRule="auto"/>
        <w:ind w:left="567" w:right="133" w:hanging="283"/>
        <w:rPr>
          <w:rFonts w:ascii="Arial" w:eastAsia="Arial Narrow" w:hAnsi="Arial" w:cs="Arial"/>
          <w:color w:val="000000"/>
          <w:lang w:eastAsia="en-PH"/>
        </w:rPr>
      </w:pPr>
    </w:p>
    <w:p w14:paraId="0684A42F" w14:textId="77777777" w:rsidR="00312FC6" w:rsidRPr="004C4F6D" w:rsidRDefault="003919DE" w:rsidP="004C4F6D">
      <w:pPr>
        <w:spacing w:after="0" w:line="240" w:lineRule="auto"/>
        <w:ind w:left="705" w:right="716"/>
        <w:jc w:val="both"/>
        <w:rPr>
          <w:rFonts w:ascii="Arial" w:eastAsia="Arial Narrow" w:hAnsi="Arial" w:cs="Arial"/>
          <w:color w:val="000000"/>
          <w:lang w:eastAsia="en-PH"/>
        </w:rPr>
      </w:pPr>
      <w:r w:rsidRPr="004C4F6D">
        <w:rPr>
          <w:rFonts w:ascii="Arial" w:eastAsia="Arial Narrow" w:hAnsi="Arial" w:cs="Arial"/>
          <w:i/>
          <w:color w:val="000000"/>
          <w:lang w:eastAsia="en-PH"/>
        </w:rPr>
        <w:t xml:space="preserve">“A </w:t>
      </w:r>
      <w:r w:rsidRPr="004C4F6D">
        <w:rPr>
          <w:rFonts w:ascii="Arial" w:eastAsia="Arial Narrow" w:hAnsi="Arial" w:cs="Arial"/>
          <w:b/>
          <w:i/>
          <w:color w:val="000000"/>
          <w:lang w:eastAsia="en-PH"/>
        </w:rPr>
        <w:t>short-term debt payment</w:t>
      </w:r>
      <w:r w:rsidRPr="004C4F6D">
        <w:rPr>
          <w:rFonts w:ascii="Arial" w:eastAsia="Arial Narrow" w:hAnsi="Arial" w:cs="Arial"/>
          <w:i/>
          <w:color w:val="000000"/>
          <w:lang w:eastAsia="en-PH"/>
        </w:rPr>
        <w:t xml:space="preserve"> incurred in the normal course of business which </w:t>
      </w:r>
      <w:r w:rsidRPr="004C4F6D">
        <w:rPr>
          <w:rFonts w:ascii="Arial" w:eastAsia="Arial Narrow" w:hAnsi="Arial" w:cs="Arial"/>
          <w:b/>
          <w:i/>
          <w:color w:val="000000"/>
          <w:lang w:eastAsia="en-PH"/>
        </w:rPr>
        <w:t>needs to be paid within a given period</w:t>
      </w:r>
      <w:r w:rsidRPr="004C4F6D">
        <w:rPr>
          <w:rFonts w:ascii="Arial" w:eastAsia="Arial Narrow" w:hAnsi="Arial" w:cs="Arial"/>
          <w:i/>
          <w:color w:val="000000"/>
          <w:lang w:eastAsia="en-PH"/>
        </w:rPr>
        <w:t xml:space="preserve"> to avoid default “. </w:t>
      </w:r>
    </w:p>
    <w:p w14:paraId="299B5879" w14:textId="77777777" w:rsidR="00312FC6" w:rsidRPr="004C4F6D" w:rsidRDefault="00312FC6" w:rsidP="004C4F6D">
      <w:pPr>
        <w:spacing w:after="0" w:line="240" w:lineRule="auto"/>
        <w:ind w:left="705" w:right="133"/>
        <w:rPr>
          <w:rFonts w:ascii="Arial" w:eastAsia="Arial Narrow" w:hAnsi="Arial" w:cs="Arial"/>
          <w:color w:val="000000"/>
          <w:lang w:eastAsia="en-PH"/>
        </w:rPr>
      </w:pPr>
    </w:p>
    <w:p w14:paraId="479DD2AD" w14:textId="0DCB50D6" w:rsidR="00312FC6" w:rsidRPr="004C4F6D" w:rsidRDefault="003919DE" w:rsidP="004C4F6D">
      <w:pPr>
        <w:pStyle w:val="ListParagraph"/>
        <w:numPr>
          <w:ilvl w:val="1"/>
          <w:numId w:val="42"/>
        </w:numPr>
        <w:spacing w:after="0" w:line="240" w:lineRule="auto"/>
        <w:ind w:left="0" w:right="7" w:firstLine="0"/>
        <w:jc w:val="both"/>
        <w:rPr>
          <w:rFonts w:ascii="Arial" w:eastAsia="Arial Narrow" w:hAnsi="Arial" w:cs="Arial"/>
          <w:lang w:eastAsia="en-PH"/>
        </w:rPr>
      </w:pPr>
      <w:r w:rsidRPr="004C4F6D">
        <w:rPr>
          <w:rFonts w:ascii="Arial" w:eastAsia="Arial Narrow" w:hAnsi="Arial" w:cs="Arial"/>
          <w:color w:val="000000"/>
          <w:lang w:eastAsia="en-PH"/>
        </w:rPr>
        <w:t xml:space="preserve">Section B of </w:t>
      </w:r>
      <w:r w:rsidR="007638D5" w:rsidRPr="004C4F6D">
        <w:rPr>
          <w:rFonts w:ascii="Arial" w:eastAsia="Arial Narrow" w:hAnsi="Arial" w:cs="Arial"/>
          <w:color w:val="000000"/>
          <w:lang w:eastAsia="en-PH"/>
        </w:rPr>
        <w:t>the same EO</w:t>
      </w:r>
      <w:r w:rsidRPr="004C4F6D">
        <w:rPr>
          <w:rFonts w:ascii="Arial" w:eastAsia="Arial Narrow" w:hAnsi="Arial" w:cs="Arial"/>
          <w:color w:val="000000"/>
          <w:lang w:eastAsia="en-PH"/>
        </w:rPr>
        <w:t xml:space="preserve"> provides the following General Guidelines, in Handling AP:</w:t>
      </w:r>
    </w:p>
    <w:p w14:paraId="0CA823F2" w14:textId="77777777" w:rsidR="00312FC6" w:rsidRPr="004C4F6D" w:rsidRDefault="00312FC6" w:rsidP="004C4F6D">
      <w:pPr>
        <w:spacing w:after="0" w:line="240" w:lineRule="auto"/>
        <w:ind w:right="133" w:firstLine="360"/>
        <w:rPr>
          <w:rFonts w:ascii="Arial" w:eastAsia="Arial Narrow" w:hAnsi="Arial" w:cs="Arial"/>
          <w:color w:val="000000"/>
          <w:lang w:eastAsia="en-PH"/>
        </w:rPr>
      </w:pPr>
    </w:p>
    <w:p w14:paraId="2977C060" w14:textId="77777777" w:rsidR="00312FC6" w:rsidRPr="004C4F6D" w:rsidRDefault="003919DE" w:rsidP="004C4F6D">
      <w:pPr>
        <w:spacing w:after="0" w:line="240" w:lineRule="auto"/>
        <w:ind w:left="350" w:right="133" w:firstLine="360"/>
        <w:rPr>
          <w:rFonts w:ascii="Arial" w:eastAsia="Arial Narrow" w:hAnsi="Arial" w:cs="Arial"/>
          <w:color w:val="000000"/>
          <w:lang w:eastAsia="en-PH"/>
        </w:rPr>
      </w:pPr>
      <w:r w:rsidRPr="004C4F6D">
        <w:rPr>
          <w:rFonts w:ascii="Arial" w:eastAsia="Arial Narrow" w:hAnsi="Arial" w:cs="Arial"/>
          <w:i/>
          <w:color w:val="000000"/>
          <w:lang w:eastAsia="en-PH"/>
        </w:rPr>
        <w:t>3. Monitoring of AP</w:t>
      </w:r>
    </w:p>
    <w:p w14:paraId="721BE4F6" w14:textId="77777777" w:rsidR="00312FC6" w:rsidRPr="004C4F6D" w:rsidRDefault="00312FC6" w:rsidP="004C4F6D">
      <w:pPr>
        <w:spacing w:after="0" w:line="240" w:lineRule="auto"/>
        <w:ind w:left="775" w:right="133"/>
        <w:rPr>
          <w:rFonts w:ascii="Arial" w:eastAsia="Arial Narrow" w:hAnsi="Arial" w:cs="Arial"/>
          <w:color w:val="000000"/>
          <w:lang w:eastAsia="en-PH"/>
        </w:rPr>
      </w:pPr>
    </w:p>
    <w:p w14:paraId="332B9326" w14:textId="77777777" w:rsidR="00312FC6" w:rsidRPr="004C4F6D" w:rsidRDefault="003919DE" w:rsidP="004C4F6D">
      <w:pPr>
        <w:numPr>
          <w:ilvl w:val="2"/>
          <w:numId w:val="30"/>
        </w:numPr>
        <w:spacing w:after="0" w:line="240" w:lineRule="auto"/>
        <w:ind w:right="716"/>
        <w:contextualSpacing/>
        <w:jc w:val="both"/>
        <w:rPr>
          <w:rFonts w:ascii="Arial" w:eastAsia="Arial Narrow" w:hAnsi="Arial" w:cs="Arial"/>
          <w:lang w:eastAsia="en-PH"/>
        </w:rPr>
      </w:pPr>
      <w:r w:rsidRPr="004C4F6D">
        <w:rPr>
          <w:rFonts w:ascii="Arial" w:eastAsia="Arial Narrow" w:hAnsi="Arial" w:cs="Arial"/>
          <w:i/>
          <w:color w:val="000000"/>
          <w:lang w:eastAsia="en-PH"/>
        </w:rPr>
        <w:t xml:space="preserve">A </w:t>
      </w:r>
      <w:r w:rsidRPr="004C4F6D">
        <w:rPr>
          <w:rFonts w:ascii="Arial" w:eastAsia="Arial Narrow" w:hAnsi="Arial" w:cs="Arial"/>
          <w:b/>
          <w:i/>
          <w:color w:val="000000"/>
          <w:lang w:eastAsia="en-PH"/>
        </w:rPr>
        <w:t xml:space="preserve">monthly report of outstanding A/P shall be </w:t>
      </w:r>
      <w:r w:rsidRPr="004C4F6D">
        <w:rPr>
          <w:rFonts w:ascii="Arial" w:eastAsia="Arial Narrow" w:hAnsi="Arial" w:cs="Arial"/>
          <w:b/>
          <w:color w:val="000000"/>
          <w:lang w:eastAsia="en-PH"/>
        </w:rPr>
        <w:t>prepared</w:t>
      </w:r>
      <w:r w:rsidRPr="004C4F6D">
        <w:rPr>
          <w:rFonts w:ascii="Arial" w:eastAsia="Arial Narrow" w:hAnsi="Arial" w:cs="Arial"/>
          <w:b/>
          <w:i/>
          <w:color w:val="000000"/>
          <w:lang w:eastAsia="en-PH"/>
        </w:rPr>
        <w:t xml:space="preserve"> by the AU and sent to IU within ten (10) banking days after month-end for monitoring and payment purposes</w:t>
      </w:r>
      <w:r w:rsidRPr="004C4F6D">
        <w:rPr>
          <w:rFonts w:ascii="Arial" w:eastAsia="Arial Narrow" w:hAnsi="Arial" w:cs="Arial"/>
          <w:i/>
          <w:color w:val="000000"/>
          <w:lang w:eastAsia="en-PH"/>
        </w:rPr>
        <w:t xml:space="preserve"> xxx</w:t>
      </w:r>
      <w:r w:rsidRPr="004C4F6D">
        <w:rPr>
          <w:rFonts w:ascii="Arial" w:eastAsia="Arial Narrow" w:hAnsi="Arial" w:cs="Arial"/>
          <w:b/>
          <w:i/>
          <w:color w:val="000000"/>
          <w:lang w:eastAsia="en-PH"/>
        </w:rPr>
        <w:t>.</w:t>
      </w:r>
    </w:p>
    <w:p w14:paraId="29B8F44B" w14:textId="77777777" w:rsidR="00312FC6" w:rsidRPr="004C4F6D" w:rsidRDefault="00312FC6" w:rsidP="004C4F6D">
      <w:pPr>
        <w:spacing w:after="0" w:line="240" w:lineRule="auto"/>
        <w:ind w:left="720"/>
        <w:contextualSpacing/>
        <w:jc w:val="both"/>
        <w:rPr>
          <w:rFonts w:ascii="Arial" w:eastAsia="Arial Narrow" w:hAnsi="Arial" w:cs="Arial"/>
          <w:lang w:eastAsia="en-PH"/>
        </w:rPr>
      </w:pPr>
    </w:p>
    <w:p w14:paraId="3780B2C5" w14:textId="77777777" w:rsidR="00312FC6" w:rsidRPr="004C4F6D" w:rsidRDefault="003919DE" w:rsidP="004C4F6D">
      <w:pPr>
        <w:numPr>
          <w:ilvl w:val="1"/>
          <w:numId w:val="31"/>
        </w:numPr>
        <w:spacing w:after="0" w:line="240" w:lineRule="auto"/>
        <w:ind w:left="775" w:right="716"/>
        <w:jc w:val="both"/>
        <w:rPr>
          <w:rFonts w:ascii="Arial" w:eastAsia="Arial Narrow" w:hAnsi="Arial" w:cs="Arial"/>
          <w:lang w:eastAsia="en-PH"/>
        </w:rPr>
      </w:pPr>
      <w:r w:rsidRPr="004C4F6D">
        <w:rPr>
          <w:rFonts w:ascii="Arial" w:eastAsia="Arial Narrow" w:hAnsi="Arial" w:cs="Arial"/>
          <w:i/>
          <w:color w:val="000000"/>
          <w:lang w:eastAsia="en-PH"/>
        </w:rPr>
        <w:t xml:space="preserve">Within 30 calendar days from receipt of report from Accounting Unit (AU), </w:t>
      </w:r>
      <w:r w:rsidRPr="004C4F6D">
        <w:rPr>
          <w:rFonts w:ascii="Arial" w:eastAsia="Arial Narrow" w:hAnsi="Arial" w:cs="Arial"/>
          <w:b/>
          <w:i/>
          <w:color w:val="000000"/>
          <w:lang w:eastAsia="en-PH"/>
        </w:rPr>
        <w:t>Incurring Unit (IU) shall provide AU the status of A/P and action taken</w:t>
      </w:r>
      <w:r w:rsidRPr="004C4F6D">
        <w:rPr>
          <w:rFonts w:ascii="Arial" w:eastAsia="Arial Narrow" w:hAnsi="Arial" w:cs="Arial"/>
          <w:i/>
          <w:color w:val="000000"/>
          <w:lang w:eastAsia="en-PH"/>
        </w:rPr>
        <w:t>.</w:t>
      </w:r>
    </w:p>
    <w:p w14:paraId="5F56FB05" w14:textId="77777777" w:rsidR="00312FC6" w:rsidRPr="004C4F6D" w:rsidRDefault="00312FC6" w:rsidP="004C4F6D">
      <w:pPr>
        <w:spacing w:after="0" w:line="240" w:lineRule="auto"/>
        <w:ind w:left="775" w:right="133"/>
        <w:jc w:val="both"/>
        <w:rPr>
          <w:rFonts w:ascii="Arial" w:eastAsia="Arial Narrow" w:hAnsi="Arial" w:cs="Arial"/>
          <w:lang w:eastAsia="en-PH"/>
        </w:rPr>
      </w:pPr>
    </w:p>
    <w:p w14:paraId="26E8C549" w14:textId="77777777" w:rsidR="00312FC6" w:rsidRPr="004C4F6D" w:rsidRDefault="003919DE" w:rsidP="004C4F6D">
      <w:pPr>
        <w:numPr>
          <w:ilvl w:val="1"/>
          <w:numId w:val="31"/>
        </w:numPr>
        <w:spacing w:after="0" w:line="240" w:lineRule="auto"/>
        <w:ind w:left="775" w:right="133"/>
        <w:jc w:val="both"/>
        <w:rPr>
          <w:rFonts w:ascii="Arial" w:eastAsia="Arial Narrow" w:hAnsi="Arial" w:cs="Arial"/>
          <w:lang w:eastAsia="en-PH"/>
        </w:rPr>
      </w:pPr>
      <w:r w:rsidRPr="004C4F6D">
        <w:rPr>
          <w:rFonts w:ascii="Arial" w:eastAsia="Arial Narrow" w:hAnsi="Arial" w:cs="Arial"/>
          <w:i/>
          <w:color w:val="000000"/>
          <w:lang w:eastAsia="en-PH"/>
        </w:rPr>
        <w:t>xxx</w:t>
      </w:r>
    </w:p>
    <w:p w14:paraId="4AE54C86" w14:textId="77777777" w:rsidR="00312FC6" w:rsidRPr="004C4F6D" w:rsidRDefault="00312FC6" w:rsidP="004C4F6D">
      <w:pPr>
        <w:spacing w:after="0" w:line="240" w:lineRule="auto"/>
        <w:ind w:right="133"/>
        <w:rPr>
          <w:rFonts w:ascii="Arial" w:eastAsia="Arial Narrow" w:hAnsi="Arial" w:cs="Arial"/>
          <w:color w:val="000000"/>
          <w:lang w:eastAsia="en-PH"/>
        </w:rPr>
      </w:pPr>
    </w:p>
    <w:p w14:paraId="59B583B3" w14:textId="77777777" w:rsidR="00312FC6" w:rsidRPr="004C4F6D" w:rsidRDefault="003919DE" w:rsidP="004C4F6D">
      <w:pPr>
        <w:spacing w:after="0" w:line="240" w:lineRule="auto"/>
        <w:ind w:right="133"/>
        <w:rPr>
          <w:rFonts w:ascii="Arial" w:eastAsia="Arial Narrow" w:hAnsi="Arial" w:cs="Arial"/>
          <w:color w:val="000000"/>
          <w:lang w:eastAsia="en-PH"/>
        </w:rPr>
      </w:pPr>
      <w:r w:rsidRPr="004C4F6D">
        <w:rPr>
          <w:rFonts w:ascii="Arial" w:eastAsia="Arial Narrow" w:hAnsi="Arial" w:cs="Arial"/>
          <w:i/>
          <w:color w:val="000000"/>
          <w:lang w:eastAsia="en-PH"/>
        </w:rPr>
        <w:t xml:space="preserve">        </w:t>
      </w:r>
      <w:r w:rsidRPr="004C4F6D">
        <w:rPr>
          <w:rFonts w:ascii="Arial" w:eastAsia="Arial Narrow" w:hAnsi="Arial" w:cs="Arial"/>
          <w:i/>
          <w:color w:val="000000"/>
          <w:lang w:eastAsia="en-PH"/>
        </w:rPr>
        <w:tab/>
        <w:t xml:space="preserve">4. Disposition of Long Outstanding A/P </w:t>
      </w:r>
    </w:p>
    <w:p w14:paraId="0BD5DC41" w14:textId="4BE8EB19" w:rsidR="00312FC6" w:rsidRPr="004C4F6D" w:rsidRDefault="00312FC6" w:rsidP="004C4F6D">
      <w:pPr>
        <w:tabs>
          <w:tab w:val="left" w:pos="851"/>
        </w:tabs>
        <w:spacing w:after="0" w:line="240" w:lineRule="auto"/>
        <w:ind w:right="133"/>
        <w:jc w:val="both"/>
        <w:rPr>
          <w:rFonts w:ascii="Arial" w:eastAsia="Times New Roman" w:hAnsi="Arial" w:cs="Arial"/>
          <w:color w:val="000000"/>
          <w:lang w:eastAsia="en-PH"/>
        </w:rPr>
      </w:pPr>
    </w:p>
    <w:p w14:paraId="266F55BF" w14:textId="77777777" w:rsidR="00312FC6" w:rsidRPr="004C4F6D" w:rsidRDefault="003919DE" w:rsidP="004C4F6D">
      <w:pPr>
        <w:numPr>
          <w:ilvl w:val="0"/>
          <w:numId w:val="32"/>
        </w:numPr>
        <w:tabs>
          <w:tab w:val="left" w:pos="851"/>
        </w:tabs>
        <w:spacing w:after="0" w:line="240" w:lineRule="auto"/>
        <w:ind w:left="1059" w:right="716"/>
        <w:jc w:val="both"/>
        <w:rPr>
          <w:rFonts w:ascii="Arial" w:eastAsia="Times New Roman" w:hAnsi="Arial" w:cs="Arial"/>
          <w:color w:val="000000"/>
          <w:lang w:eastAsia="en-PH"/>
        </w:rPr>
      </w:pPr>
      <w:r w:rsidRPr="004C4F6D">
        <w:rPr>
          <w:rFonts w:ascii="Arial" w:eastAsia="Arial Narrow" w:hAnsi="Arial" w:cs="Arial"/>
          <w:i/>
          <w:color w:val="000000"/>
          <w:lang w:eastAsia="en-PH"/>
        </w:rPr>
        <w:t xml:space="preserve">Based on the aging report, </w:t>
      </w:r>
      <w:r w:rsidRPr="004C4F6D">
        <w:rPr>
          <w:rFonts w:ascii="Arial" w:eastAsia="Arial Narrow" w:hAnsi="Arial" w:cs="Arial"/>
          <w:b/>
          <w:i/>
          <w:color w:val="000000"/>
          <w:lang w:eastAsia="en-PH"/>
        </w:rPr>
        <w:t>a “Notice” shall be sent by the IU through mail to all payees to be completed within (1) month after end of semester</w:t>
      </w:r>
      <w:r w:rsidRPr="004C4F6D">
        <w:rPr>
          <w:rFonts w:ascii="Arial" w:eastAsia="Arial Narrow" w:hAnsi="Arial" w:cs="Arial"/>
          <w:i/>
          <w:color w:val="000000"/>
          <w:lang w:eastAsia="en-PH"/>
        </w:rPr>
        <w:t xml:space="preserve"> as follows:</w:t>
      </w:r>
    </w:p>
    <w:p w14:paraId="183959B4" w14:textId="77777777" w:rsidR="00312FC6" w:rsidRPr="004C4F6D" w:rsidRDefault="003919DE" w:rsidP="004C4F6D">
      <w:pPr>
        <w:spacing w:after="0" w:line="240" w:lineRule="auto"/>
        <w:ind w:left="1059" w:right="133"/>
        <w:rPr>
          <w:rFonts w:ascii="Arial" w:eastAsia="Arial Narrow" w:hAnsi="Arial" w:cs="Arial"/>
          <w:i/>
          <w:color w:val="000000"/>
          <w:lang w:eastAsia="en-PH"/>
        </w:rPr>
      </w:pPr>
      <w:r w:rsidRPr="004C4F6D">
        <w:rPr>
          <w:rFonts w:ascii="Arial" w:eastAsia="Arial Narrow" w:hAnsi="Arial" w:cs="Arial"/>
          <w:i/>
          <w:color w:val="000000"/>
          <w:lang w:eastAsia="en-PH"/>
        </w:rPr>
        <w:t xml:space="preserve"> </w:t>
      </w:r>
    </w:p>
    <w:tbl>
      <w:tblPr>
        <w:tblW w:w="691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0"/>
        <w:gridCol w:w="3557"/>
      </w:tblGrid>
      <w:tr w:rsidR="00312FC6" w:rsidRPr="004C4F6D" w14:paraId="1C811D77" w14:textId="77777777">
        <w:trPr>
          <w:trHeight w:val="190"/>
        </w:trPr>
        <w:tc>
          <w:tcPr>
            <w:tcW w:w="3360" w:type="dxa"/>
          </w:tcPr>
          <w:p w14:paraId="6B3315A5" w14:textId="77777777" w:rsidR="00312FC6" w:rsidRPr="004C4F6D" w:rsidRDefault="003919DE" w:rsidP="004C4F6D">
            <w:pPr>
              <w:spacing w:after="0" w:line="240" w:lineRule="auto"/>
              <w:ind w:left="1059" w:right="133"/>
              <w:jc w:val="center"/>
              <w:rPr>
                <w:rFonts w:ascii="Arial" w:eastAsia="Arial Narrow" w:hAnsi="Arial" w:cs="Arial"/>
                <w:color w:val="000000"/>
                <w:sz w:val="20"/>
                <w:szCs w:val="20"/>
                <w:lang w:eastAsia="en-PH"/>
              </w:rPr>
            </w:pPr>
            <w:r w:rsidRPr="004C4F6D">
              <w:rPr>
                <w:rFonts w:ascii="Arial" w:eastAsia="Arial Narrow" w:hAnsi="Arial" w:cs="Arial"/>
                <w:b/>
                <w:i/>
                <w:color w:val="000000"/>
                <w:sz w:val="20"/>
                <w:szCs w:val="20"/>
                <w:lang w:eastAsia="en-PH"/>
              </w:rPr>
              <w:t>Notice</w:t>
            </w:r>
          </w:p>
        </w:tc>
        <w:tc>
          <w:tcPr>
            <w:tcW w:w="3557" w:type="dxa"/>
          </w:tcPr>
          <w:p w14:paraId="21D2512E" w14:textId="77777777" w:rsidR="00312FC6" w:rsidRPr="004C4F6D" w:rsidRDefault="003919DE" w:rsidP="004C4F6D">
            <w:pPr>
              <w:spacing w:after="0" w:line="240" w:lineRule="auto"/>
              <w:ind w:left="1059" w:right="133"/>
              <w:jc w:val="center"/>
              <w:rPr>
                <w:rFonts w:ascii="Arial" w:eastAsia="Arial Narrow" w:hAnsi="Arial" w:cs="Arial"/>
                <w:color w:val="000000"/>
                <w:sz w:val="20"/>
                <w:szCs w:val="20"/>
                <w:lang w:eastAsia="en-PH"/>
              </w:rPr>
            </w:pPr>
            <w:r w:rsidRPr="004C4F6D">
              <w:rPr>
                <w:rFonts w:ascii="Arial" w:eastAsia="Arial Narrow" w:hAnsi="Arial" w:cs="Arial"/>
                <w:b/>
                <w:i/>
                <w:color w:val="000000"/>
                <w:sz w:val="20"/>
                <w:szCs w:val="20"/>
                <w:lang w:eastAsia="en-PH"/>
              </w:rPr>
              <w:t>Age</w:t>
            </w:r>
          </w:p>
        </w:tc>
      </w:tr>
      <w:tr w:rsidR="00312FC6" w:rsidRPr="004C4F6D" w14:paraId="63E5573B" w14:textId="77777777" w:rsidTr="002F1504">
        <w:trPr>
          <w:trHeight w:val="159"/>
        </w:trPr>
        <w:tc>
          <w:tcPr>
            <w:tcW w:w="3360" w:type="dxa"/>
          </w:tcPr>
          <w:p w14:paraId="20542A36" w14:textId="77777777" w:rsidR="00312FC6" w:rsidRPr="004C4F6D" w:rsidRDefault="003919DE" w:rsidP="004C4F6D">
            <w:pPr>
              <w:spacing w:after="0" w:line="240" w:lineRule="auto"/>
              <w:ind w:right="133"/>
              <w:rPr>
                <w:rFonts w:ascii="Arial" w:eastAsia="Arial Narrow" w:hAnsi="Arial" w:cs="Arial"/>
                <w:color w:val="000000"/>
                <w:sz w:val="20"/>
                <w:szCs w:val="20"/>
                <w:lang w:eastAsia="en-PH"/>
              </w:rPr>
            </w:pPr>
            <w:r w:rsidRPr="004C4F6D">
              <w:rPr>
                <w:rFonts w:ascii="Arial" w:eastAsia="Arial Narrow" w:hAnsi="Arial" w:cs="Arial"/>
                <w:i/>
                <w:color w:val="000000"/>
                <w:sz w:val="20"/>
                <w:szCs w:val="20"/>
                <w:lang w:eastAsia="en-PH"/>
              </w:rPr>
              <w:t>First Notice (Exhibit 3)</w:t>
            </w:r>
          </w:p>
        </w:tc>
        <w:tc>
          <w:tcPr>
            <w:tcW w:w="3557" w:type="dxa"/>
          </w:tcPr>
          <w:p w14:paraId="57E41423" w14:textId="418FF141" w:rsidR="00312FC6" w:rsidRPr="004C4F6D" w:rsidRDefault="003919DE" w:rsidP="004C4F6D">
            <w:pPr>
              <w:spacing w:after="0" w:line="240" w:lineRule="auto"/>
              <w:ind w:right="133"/>
              <w:rPr>
                <w:rFonts w:ascii="Arial" w:eastAsia="Arial Narrow" w:hAnsi="Arial" w:cs="Arial"/>
                <w:color w:val="000000"/>
                <w:sz w:val="20"/>
                <w:szCs w:val="20"/>
                <w:lang w:eastAsia="en-PH"/>
              </w:rPr>
            </w:pPr>
            <w:r w:rsidRPr="004C4F6D">
              <w:rPr>
                <w:rFonts w:ascii="Arial" w:eastAsia="Arial Narrow" w:hAnsi="Arial" w:cs="Arial"/>
                <w:i/>
                <w:color w:val="000000"/>
                <w:sz w:val="20"/>
                <w:szCs w:val="20"/>
                <w:lang w:eastAsia="en-PH"/>
              </w:rPr>
              <w:t>Over three (3) months</w:t>
            </w:r>
            <w:r w:rsidRPr="004C4F6D">
              <w:rPr>
                <w:rFonts w:ascii="Arial" w:eastAsia="Arial Narrow" w:hAnsi="Arial" w:cs="Arial"/>
                <w:i/>
                <w:sz w:val="20"/>
                <w:szCs w:val="20"/>
                <w:lang w:eastAsia="en-PH"/>
              </w:rPr>
              <w:t xml:space="preserve"> o</w:t>
            </w:r>
            <w:r w:rsidRPr="004C4F6D">
              <w:rPr>
                <w:rFonts w:ascii="Arial" w:eastAsia="Arial Narrow" w:hAnsi="Arial" w:cs="Arial"/>
                <w:i/>
                <w:color w:val="000000"/>
                <w:sz w:val="20"/>
                <w:szCs w:val="20"/>
                <w:lang w:eastAsia="en-PH"/>
              </w:rPr>
              <w:t>utstanding</w:t>
            </w:r>
          </w:p>
        </w:tc>
      </w:tr>
      <w:tr w:rsidR="00312FC6" w:rsidRPr="004C4F6D" w14:paraId="00D6BC22" w14:textId="77777777" w:rsidTr="002F1504">
        <w:trPr>
          <w:trHeight w:val="205"/>
        </w:trPr>
        <w:tc>
          <w:tcPr>
            <w:tcW w:w="3360" w:type="dxa"/>
          </w:tcPr>
          <w:p w14:paraId="70506E70" w14:textId="77777777" w:rsidR="00312FC6" w:rsidRPr="004C4F6D" w:rsidRDefault="003919DE" w:rsidP="004C4F6D">
            <w:pPr>
              <w:spacing w:after="0" w:line="240" w:lineRule="auto"/>
              <w:ind w:right="133"/>
              <w:rPr>
                <w:rFonts w:ascii="Arial" w:eastAsia="Arial Narrow" w:hAnsi="Arial" w:cs="Arial"/>
                <w:color w:val="000000"/>
                <w:sz w:val="20"/>
                <w:szCs w:val="20"/>
                <w:lang w:eastAsia="en-PH"/>
              </w:rPr>
            </w:pPr>
            <w:r w:rsidRPr="004C4F6D">
              <w:rPr>
                <w:rFonts w:ascii="Arial" w:eastAsia="Arial Narrow" w:hAnsi="Arial" w:cs="Arial"/>
                <w:i/>
                <w:color w:val="000000"/>
                <w:sz w:val="20"/>
                <w:szCs w:val="20"/>
                <w:lang w:eastAsia="en-PH"/>
              </w:rPr>
              <w:t>Final Notice (Exhibit 4)</w:t>
            </w:r>
          </w:p>
        </w:tc>
        <w:tc>
          <w:tcPr>
            <w:tcW w:w="3557" w:type="dxa"/>
          </w:tcPr>
          <w:p w14:paraId="58A9B021" w14:textId="77777777" w:rsidR="00312FC6" w:rsidRPr="004C4F6D" w:rsidRDefault="003919DE" w:rsidP="004C4F6D">
            <w:pPr>
              <w:spacing w:after="0" w:line="240" w:lineRule="auto"/>
              <w:ind w:right="133"/>
              <w:rPr>
                <w:rFonts w:ascii="Arial" w:eastAsia="Arial Narrow" w:hAnsi="Arial" w:cs="Arial"/>
                <w:color w:val="000000"/>
                <w:sz w:val="20"/>
                <w:szCs w:val="20"/>
                <w:lang w:eastAsia="en-PH"/>
              </w:rPr>
            </w:pPr>
            <w:r w:rsidRPr="004C4F6D">
              <w:rPr>
                <w:rFonts w:ascii="Arial" w:eastAsia="Arial Narrow" w:hAnsi="Arial" w:cs="Arial"/>
                <w:i/>
                <w:color w:val="000000"/>
                <w:sz w:val="20"/>
                <w:szCs w:val="20"/>
                <w:lang w:eastAsia="en-PH"/>
              </w:rPr>
              <w:t>Over six (6) months outstanding</w:t>
            </w:r>
          </w:p>
        </w:tc>
      </w:tr>
    </w:tbl>
    <w:p w14:paraId="48FC052C" w14:textId="77777777" w:rsidR="00312FC6" w:rsidRPr="004C4F6D" w:rsidRDefault="00312FC6" w:rsidP="004C4F6D">
      <w:pPr>
        <w:spacing w:after="0" w:line="240" w:lineRule="auto"/>
        <w:ind w:left="1059" w:right="133"/>
        <w:rPr>
          <w:rFonts w:ascii="Arial" w:eastAsia="Arial Narrow" w:hAnsi="Arial" w:cs="Arial"/>
          <w:color w:val="000000"/>
          <w:sz w:val="16"/>
          <w:szCs w:val="16"/>
          <w:lang w:eastAsia="en-PH"/>
        </w:rPr>
      </w:pPr>
    </w:p>
    <w:p w14:paraId="075F31E5" w14:textId="5E04F606" w:rsidR="00312FC6" w:rsidRPr="004C4F6D" w:rsidRDefault="003919DE" w:rsidP="004C4F6D">
      <w:pPr>
        <w:spacing w:after="0" w:line="240" w:lineRule="auto"/>
        <w:ind w:left="1059" w:right="716"/>
        <w:rPr>
          <w:rFonts w:ascii="Arial" w:eastAsia="Arial Narrow" w:hAnsi="Arial" w:cs="Arial"/>
          <w:i/>
          <w:color w:val="000000"/>
          <w:sz w:val="16"/>
          <w:szCs w:val="16"/>
          <w:lang w:eastAsia="en-PH"/>
        </w:rPr>
      </w:pPr>
      <w:r w:rsidRPr="004C4F6D">
        <w:rPr>
          <w:rFonts w:ascii="Arial" w:eastAsia="Arial Narrow" w:hAnsi="Arial" w:cs="Arial"/>
          <w:i/>
          <w:color w:val="000000"/>
          <w:sz w:val="16"/>
          <w:szCs w:val="16"/>
          <w:lang w:eastAsia="en-PH"/>
        </w:rPr>
        <w:t>Note: The Final Notice shall be sent through a registered mail. The Registry Return Card shall be then safe kept on file.</w:t>
      </w:r>
    </w:p>
    <w:p w14:paraId="7F5F1F10" w14:textId="77777777" w:rsidR="00B125A8" w:rsidRPr="004C4F6D" w:rsidRDefault="00B125A8" w:rsidP="004C4F6D">
      <w:pPr>
        <w:spacing w:after="0" w:line="240" w:lineRule="auto"/>
        <w:ind w:left="1059" w:right="716"/>
        <w:rPr>
          <w:rFonts w:ascii="Arial" w:eastAsia="Arial Narrow" w:hAnsi="Arial" w:cs="Arial"/>
          <w:color w:val="000000"/>
          <w:sz w:val="16"/>
          <w:szCs w:val="16"/>
          <w:lang w:eastAsia="en-PH"/>
        </w:rPr>
      </w:pPr>
    </w:p>
    <w:p w14:paraId="15F11C78" w14:textId="4A2715EA" w:rsidR="00312FC6" w:rsidRPr="004C4F6D" w:rsidRDefault="007638D5" w:rsidP="004C4F6D">
      <w:pPr>
        <w:pStyle w:val="ListParagraph"/>
        <w:numPr>
          <w:ilvl w:val="1"/>
          <w:numId w:val="42"/>
        </w:numPr>
        <w:spacing w:after="0" w:line="240" w:lineRule="auto"/>
        <w:ind w:left="0" w:firstLine="0"/>
        <w:rPr>
          <w:rFonts w:ascii="Arial" w:eastAsia="Arial Narrow" w:hAnsi="Arial" w:cs="Arial"/>
          <w:color w:val="000000"/>
          <w:lang w:eastAsia="en-PH"/>
        </w:rPr>
      </w:pPr>
      <w:r w:rsidRPr="004C4F6D">
        <w:rPr>
          <w:rFonts w:ascii="Arial" w:eastAsia="Arial Narrow" w:hAnsi="Arial" w:cs="Arial"/>
          <w:color w:val="000000"/>
          <w:lang w:eastAsia="en-PH"/>
        </w:rPr>
        <w:t>Moreover</w:t>
      </w:r>
      <w:r w:rsidR="003919DE" w:rsidRPr="004C4F6D">
        <w:rPr>
          <w:rFonts w:ascii="Arial" w:eastAsia="Arial Narrow" w:hAnsi="Arial" w:cs="Arial"/>
          <w:color w:val="000000"/>
          <w:lang w:eastAsia="en-PH"/>
        </w:rPr>
        <w:t>, Section D of the same EO provides the following as part of Internal Controls:</w:t>
      </w:r>
    </w:p>
    <w:p w14:paraId="5DDDDD2A" w14:textId="77777777" w:rsidR="00312FC6" w:rsidRPr="004C4F6D" w:rsidRDefault="00312FC6" w:rsidP="004C4F6D">
      <w:pPr>
        <w:tabs>
          <w:tab w:val="left" w:pos="284"/>
        </w:tabs>
        <w:spacing w:after="0" w:line="240" w:lineRule="auto"/>
        <w:ind w:left="1201" w:right="133"/>
        <w:rPr>
          <w:rFonts w:ascii="Arial" w:eastAsia="Arial Narrow" w:hAnsi="Arial" w:cs="Arial"/>
          <w:color w:val="000000"/>
          <w:lang w:eastAsia="en-PH"/>
        </w:rPr>
      </w:pPr>
    </w:p>
    <w:p w14:paraId="237A8F98" w14:textId="77777777" w:rsidR="00312FC6" w:rsidRPr="004C4F6D" w:rsidRDefault="003919DE" w:rsidP="004C4F6D">
      <w:pPr>
        <w:spacing w:after="0" w:line="240" w:lineRule="auto"/>
        <w:ind w:left="900" w:right="716"/>
        <w:jc w:val="both"/>
        <w:rPr>
          <w:rFonts w:ascii="Arial" w:eastAsia="Times New Roman" w:hAnsi="Arial" w:cs="Arial"/>
          <w:lang w:eastAsia="en-PH"/>
        </w:rPr>
      </w:pPr>
      <w:r w:rsidRPr="004C4F6D">
        <w:rPr>
          <w:rFonts w:ascii="Arial" w:eastAsia="Arial Narrow" w:hAnsi="Arial" w:cs="Arial"/>
          <w:i/>
          <w:color w:val="000000"/>
          <w:lang w:eastAsia="en-PH"/>
        </w:rPr>
        <w:t>Ensure the completeness of supporting documents and other evidence of indebtedness before booking of A/P.</w:t>
      </w:r>
    </w:p>
    <w:p w14:paraId="2FE36CF2" w14:textId="77777777" w:rsidR="00312FC6" w:rsidRPr="004C4F6D" w:rsidRDefault="00312FC6" w:rsidP="004C4F6D">
      <w:pPr>
        <w:tabs>
          <w:tab w:val="left" w:pos="851"/>
        </w:tabs>
        <w:spacing w:after="0" w:line="240" w:lineRule="auto"/>
        <w:ind w:left="1201" w:right="133"/>
        <w:rPr>
          <w:rFonts w:ascii="Arial" w:eastAsia="Arial Narrow" w:hAnsi="Arial" w:cs="Arial"/>
          <w:color w:val="000000"/>
          <w:lang w:eastAsia="en-PH"/>
        </w:rPr>
      </w:pPr>
    </w:p>
    <w:p w14:paraId="42D758A1" w14:textId="77777777" w:rsidR="00312FC6" w:rsidRPr="004C4F6D" w:rsidRDefault="003919DE" w:rsidP="004C4F6D">
      <w:pPr>
        <w:spacing w:after="0" w:line="240" w:lineRule="auto"/>
        <w:ind w:left="917" w:right="716"/>
        <w:jc w:val="both"/>
        <w:rPr>
          <w:rFonts w:ascii="Arial" w:eastAsia="Arial Narrow" w:hAnsi="Arial" w:cs="Arial"/>
          <w:i/>
          <w:color w:val="000000"/>
          <w:lang w:eastAsia="en-PH"/>
        </w:rPr>
      </w:pPr>
      <w:r w:rsidRPr="004C4F6D">
        <w:rPr>
          <w:rFonts w:ascii="Arial" w:eastAsia="Arial Narrow" w:hAnsi="Arial" w:cs="Arial"/>
          <w:i/>
          <w:color w:val="000000"/>
          <w:lang w:eastAsia="en-PH"/>
        </w:rPr>
        <w:t>IU shall safekeep all documents related to the booking of A/P as reference for its proper disposition. Xxx</w:t>
      </w:r>
    </w:p>
    <w:p w14:paraId="5A6FF4B9" w14:textId="77777777" w:rsidR="00312FC6" w:rsidRPr="004C4F6D" w:rsidRDefault="00312FC6" w:rsidP="004C4F6D">
      <w:pPr>
        <w:tabs>
          <w:tab w:val="left" w:pos="284"/>
        </w:tabs>
        <w:spacing w:after="0" w:line="240" w:lineRule="auto"/>
        <w:ind w:right="133"/>
        <w:jc w:val="both"/>
        <w:rPr>
          <w:rFonts w:ascii="Arial" w:eastAsia="Arial Narrow" w:hAnsi="Arial" w:cs="Arial"/>
          <w:i/>
          <w:color w:val="000000"/>
          <w:lang w:eastAsia="en-PH"/>
        </w:rPr>
      </w:pPr>
    </w:p>
    <w:p w14:paraId="140C4E0D" w14:textId="5932CA8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Review of the Schedules of Accounts Payable </w:t>
      </w:r>
      <w:r w:rsidR="007638D5" w:rsidRPr="004C4F6D">
        <w:rPr>
          <w:rFonts w:ascii="Arial" w:eastAsia="Arial Narrow" w:hAnsi="Arial" w:cs="Arial"/>
          <w:color w:val="000000"/>
          <w:lang w:eastAsia="en-PH"/>
        </w:rPr>
        <w:t xml:space="preserve">as at December 31, 2022 </w:t>
      </w:r>
      <w:r w:rsidRPr="004C4F6D">
        <w:rPr>
          <w:rFonts w:ascii="Arial" w:eastAsia="Arial Narrow" w:hAnsi="Arial" w:cs="Arial"/>
          <w:color w:val="000000"/>
          <w:lang w:eastAsia="en-PH"/>
        </w:rPr>
        <w:t xml:space="preserve">disclosed payable balances of several </w:t>
      </w:r>
      <w:r w:rsidR="007638D5" w:rsidRPr="004C4F6D">
        <w:rPr>
          <w:rFonts w:ascii="Arial" w:eastAsia="Arial Narrow" w:hAnsi="Arial" w:cs="Arial"/>
          <w:color w:val="000000"/>
          <w:lang w:eastAsia="en-PH"/>
        </w:rPr>
        <w:t>b</w:t>
      </w:r>
      <w:r w:rsidRPr="004C4F6D">
        <w:rPr>
          <w:rFonts w:ascii="Arial" w:eastAsia="Arial Narrow" w:hAnsi="Arial" w:cs="Arial"/>
          <w:color w:val="000000"/>
          <w:lang w:eastAsia="en-PH"/>
        </w:rPr>
        <w:t xml:space="preserve">ranches under various Accounting Centers </w:t>
      </w:r>
      <w:r w:rsidR="007638D5" w:rsidRPr="004C4F6D">
        <w:rPr>
          <w:rFonts w:ascii="Arial" w:eastAsia="Arial Narrow" w:hAnsi="Arial" w:cs="Arial"/>
          <w:color w:val="000000"/>
          <w:lang w:eastAsia="en-PH"/>
        </w:rPr>
        <w:t xml:space="preserve">which </w:t>
      </w:r>
      <w:r w:rsidRPr="004C4F6D">
        <w:rPr>
          <w:rFonts w:ascii="Arial" w:eastAsia="Arial Narrow" w:hAnsi="Arial" w:cs="Arial"/>
          <w:color w:val="000000"/>
          <w:lang w:eastAsia="en-PH"/>
        </w:rPr>
        <w:t>remained unadjusted to the proper accounts for more than one</w:t>
      </w:r>
      <w:r w:rsidRPr="004C4F6D">
        <w:rPr>
          <w:rFonts w:ascii="Arial" w:eastAsia="Arial Narrow" w:hAnsi="Arial" w:cs="Arial"/>
          <w:lang w:eastAsia="en-PH"/>
        </w:rPr>
        <w:t xml:space="preserve"> (1)</w:t>
      </w:r>
      <w:r w:rsidRPr="004C4F6D">
        <w:rPr>
          <w:rFonts w:ascii="Arial" w:eastAsia="Arial Narrow" w:hAnsi="Arial" w:cs="Arial"/>
          <w:color w:val="000000"/>
          <w:lang w:eastAsia="en-PH"/>
        </w:rPr>
        <w:t xml:space="preserve"> </w:t>
      </w:r>
      <w:r w:rsidR="007638D5" w:rsidRPr="004C4F6D">
        <w:rPr>
          <w:rFonts w:ascii="Arial" w:eastAsia="Arial Narrow" w:hAnsi="Arial" w:cs="Arial"/>
          <w:color w:val="000000"/>
          <w:lang w:eastAsia="en-PH"/>
        </w:rPr>
        <w:t xml:space="preserve">year </w:t>
      </w:r>
      <w:r w:rsidRPr="004C4F6D">
        <w:rPr>
          <w:rFonts w:ascii="Arial" w:eastAsia="Arial Narrow" w:hAnsi="Arial" w:cs="Arial"/>
          <w:color w:val="000000"/>
          <w:lang w:eastAsia="en-PH"/>
        </w:rPr>
        <w:t>to 2</w:t>
      </w:r>
      <w:r w:rsidRPr="004C4F6D">
        <w:rPr>
          <w:rFonts w:ascii="Arial" w:eastAsia="Arial Narrow" w:hAnsi="Arial" w:cs="Arial"/>
          <w:lang w:eastAsia="en-PH"/>
        </w:rPr>
        <w:t>8</w:t>
      </w:r>
      <w:r w:rsidRPr="004C4F6D">
        <w:rPr>
          <w:rFonts w:ascii="Arial" w:eastAsia="Arial Narrow" w:hAnsi="Arial" w:cs="Arial"/>
          <w:color w:val="000000"/>
          <w:lang w:eastAsia="en-PH"/>
        </w:rPr>
        <w:t xml:space="preserve"> years:</w:t>
      </w:r>
    </w:p>
    <w:p w14:paraId="371B1154" w14:textId="77777777" w:rsidR="00312FC6" w:rsidRPr="004C4F6D" w:rsidRDefault="00312FC6" w:rsidP="004C4F6D">
      <w:pPr>
        <w:pStyle w:val="ListParagraph"/>
        <w:tabs>
          <w:tab w:val="left" w:pos="284"/>
        </w:tabs>
        <w:spacing w:after="0" w:line="240" w:lineRule="auto"/>
        <w:ind w:right="133"/>
        <w:jc w:val="both"/>
        <w:rPr>
          <w:rFonts w:ascii="Arial" w:eastAsia="Arial Narrow" w:hAnsi="Arial" w:cs="Arial"/>
          <w:lang w:eastAsia="en-PH"/>
        </w:rPr>
      </w:pPr>
    </w:p>
    <w:tbl>
      <w:tblPr>
        <w:tblW w:w="8553" w:type="dxa"/>
        <w:jc w:val="center"/>
        <w:tblLayout w:type="fixed"/>
        <w:tblLook w:val="04A0" w:firstRow="1" w:lastRow="0" w:firstColumn="1" w:lastColumn="0" w:noHBand="0" w:noVBand="1"/>
      </w:tblPr>
      <w:tblGrid>
        <w:gridCol w:w="6093"/>
        <w:gridCol w:w="2460"/>
      </w:tblGrid>
      <w:tr w:rsidR="00312FC6" w:rsidRPr="004C4F6D" w14:paraId="62D559C6" w14:textId="77777777">
        <w:trPr>
          <w:cantSplit/>
          <w:trHeight w:val="253"/>
          <w:tblHeader/>
          <w:jc w:val="center"/>
        </w:trPr>
        <w:tc>
          <w:tcPr>
            <w:tcW w:w="6093" w:type="dxa"/>
            <w:vMerge w:val="restart"/>
            <w:tcBorders>
              <w:top w:val="single" w:sz="4" w:space="0" w:color="auto"/>
              <w:bottom w:val="single" w:sz="4" w:space="0" w:color="auto"/>
            </w:tcBorders>
            <w:shd w:val="clear" w:color="auto" w:fill="auto"/>
            <w:vAlign w:val="center"/>
          </w:tcPr>
          <w:p w14:paraId="24749DBB"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b/>
                <w:color w:val="000000"/>
                <w:lang w:eastAsia="en-PH"/>
              </w:rPr>
              <w:t>Accounting Center (Branches)</w:t>
            </w:r>
          </w:p>
        </w:tc>
        <w:tc>
          <w:tcPr>
            <w:tcW w:w="2460" w:type="dxa"/>
            <w:vMerge w:val="restart"/>
            <w:tcBorders>
              <w:top w:val="single" w:sz="4" w:space="0" w:color="auto"/>
              <w:bottom w:val="single" w:sz="4" w:space="0" w:color="auto"/>
            </w:tcBorders>
            <w:shd w:val="clear" w:color="auto" w:fill="auto"/>
            <w:vAlign w:val="center"/>
          </w:tcPr>
          <w:p w14:paraId="28D3DD16"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b/>
                <w:color w:val="000000"/>
                <w:lang w:eastAsia="en-PH"/>
              </w:rPr>
              <w:t>Total</w:t>
            </w:r>
          </w:p>
        </w:tc>
      </w:tr>
      <w:tr w:rsidR="00312FC6" w:rsidRPr="004C4F6D" w14:paraId="39B9C4C9" w14:textId="77777777">
        <w:trPr>
          <w:cantSplit/>
          <w:trHeight w:val="291"/>
          <w:tblHeader/>
          <w:jc w:val="center"/>
        </w:trPr>
        <w:tc>
          <w:tcPr>
            <w:tcW w:w="6093" w:type="dxa"/>
            <w:vMerge/>
            <w:tcBorders>
              <w:bottom w:val="single" w:sz="4" w:space="0" w:color="auto"/>
            </w:tcBorders>
            <w:shd w:val="clear" w:color="auto" w:fill="auto"/>
            <w:vAlign w:val="center"/>
          </w:tcPr>
          <w:p w14:paraId="2DE1F765" w14:textId="77777777" w:rsidR="00312FC6" w:rsidRPr="004C4F6D" w:rsidRDefault="00312FC6" w:rsidP="004C4F6D">
            <w:pPr>
              <w:widowControl w:val="0"/>
              <w:spacing w:after="0" w:line="240" w:lineRule="auto"/>
              <w:ind w:right="133"/>
              <w:rPr>
                <w:rFonts w:ascii="Arial" w:eastAsia="Arial Narrow" w:hAnsi="Arial" w:cs="Arial"/>
                <w:color w:val="000000"/>
                <w:lang w:eastAsia="en-PH"/>
              </w:rPr>
            </w:pPr>
          </w:p>
        </w:tc>
        <w:tc>
          <w:tcPr>
            <w:tcW w:w="2460" w:type="dxa"/>
            <w:vMerge/>
            <w:tcBorders>
              <w:bottom w:val="single" w:sz="4" w:space="0" w:color="auto"/>
            </w:tcBorders>
            <w:shd w:val="clear" w:color="auto" w:fill="auto"/>
            <w:vAlign w:val="center"/>
          </w:tcPr>
          <w:p w14:paraId="50DC97D6" w14:textId="77777777" w:rsidR="00312FC6" w:rsidRPr="004C4F6D" w:rsidRDefault="00312FC6" w:rsidP="004C4F6D">
            <w:pPr>
              <w:widowControl w:val="0"/>
              <w:spacing w:after="0" w:line="240" w:lineRule="auto"/>
              <w:ind w:right="133"/>
              <w:rPr>
                <w:rFonts w:ascii="Arial" w:eastAsia="Arial Narrow" w:hAnsi="Arial" w:cs="Arial"/>
                <w:color w:val="000000"/>
                <w:lang w:eastAsia="en-PH"/>
              </w:rPr>
            </w:pPr>
          </w:p>
        </w:tc>
      </w:tr>
      <w:tr w:rsidR="00312FC6" w:rsidRPr="004C4F6D" w14:paraId="7399FFA4" w14:textId="77777777">
        <w:trPr>
          <w:trHeight w:val="22"/>
          <w:jc w:val="center"/>
        </w:trPr>
        <w:tc>
          <w:tcPr>
            <w:tcW w:w="6093" w:type="dxa"/>
            <w:tcBorders>
              <w:top w:val="single" w:sz="4" w:space="0" w:color="auto"/>
            </w:tcBorders>
            <w:shd w:val="clear" w:color="auto" w:fill="auto"/>
          </w:tcPr>
          <w:p w14:paraId="26BF16E8" w14:textId="77777777" w:rsidR="00312FC6" w:rsidRPr="004C4F6D" w:rsidRDefault="003919DE" w:rsidP="004C4F6D">
            <w:pPr>
              <w:spacing w:after="0" w:line="240" w:lineRule="auto"/>
              <w:ind w:right="133"/>
              <w:rPr>
                <w:rFonts w:ascii="Arial" w:eastAsia="Arial Narrow" w:hAnsi="Arial" w:cs="Arial"/>
                <w:bCs/>
                <w:color w:val="000000"/>
                <w:lang w:eastAsia="en-PH"/>
              </w:rPr>
            </w:pPr>
            <w:r w:rsidRPr="004C4F6D">
              <w:rPr>
                <w:rFonts w:ascii="Arial" w:eastAsia="Arial Narrow" w:hAnsi="Arial" w:cs="Arial"/>
                <w:bCs/>
                <w:color w:val="000000"/>
                <w:lang w:eastAsia="en-PH"/>
              </w:rPr>
              <w:t>South NCR</w:t>
            </w:r>
          </w:p>
        </w:tc>
        <w:tc>
          <w:tcPr>
            <w:tcW w:w="2460" w:type="dxa"/>
            <w:tcBorders>
              <w:top w:val="single" w:sz="4" w:space="0" w:color="auto"/>
            </w:tcBorders>
            <w:shd w:val="clear" w:color="auto" w:fill="auto"/>
          </w:tcPr>
          <w:p w14:paraId="0BDE8B7D" w14:textId="0C9087D2"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lang w:eastAsia="en-PH"/>
              </w:rPr>
              <w:t xml:space="preserve">    25,323,635.65</w:t>
            </w:r>
          </w:p>
        </w:tc>
      </w:tr>
      <w:tr w:rsidR="00312FC6" w:rsidRPr="004C4F6D" w14:paraId="1DCA590A" w14:textId="77777777">
        <w:trPr>
          <w:trHeight w:val="22"/>
          <w:jc w:val="center"/>
        </w:trPr>
        <w:tc>
          <w:tcPr>
            <w:tcW w:w="6093" w:type="dxa"/>
            <w:shd w:val="clear" w:color="auto" w:fill="auto"/>
          </w:tcPr>
          <w:p w14:paraId="75F1307C" w14:textId="77777777" w:rsidR="00312FC6" w:rsidRPr="004C4F6D" w:rsidRDefault="003919DE" w:rsidP="004C4F6D">
            <w:pPr>
              <w:spacing w:after="0" w:line="240" w:lineRule="auto"/>
              <w:ind w:right="133"/>
              <w:rPr>
                <w:rFonts w:ascii="Arial" w:eastAsia="Arial Narrow" w:hAnsi="Arial" w:cs="Arial"/>
                <w:bCs/>
                <w:color w:val="000000"/>
                <w:lang w:eastAsia="en-PH"/>
              </w:rPr>
            </w:pPr>
            <w:r w:rsidRPr="004C4F6D">
              <w:rPr>
                <w:rFonts w:ascii="Arial" w:eastAsia="Arial Narrow" w:hAnsi="Arial" w:cs="Arial"/>
                <w:bCs/>
                <w:color w:val="000000"/>
                <w:lang w:eastAsia="en-PH"/>
              </w:rPr>
              <w:t>North NCR</w:t>
            </w:r>
          </w:p>
        </w:tc>
        <w:tc>
          <w:tcPr>
            <w:tcW w:w="2460" w:type="dxa"/>
            <w:shd w:val="clear" w:color="auto" w:fill="auto"/>
          </w:tcPr>
          <w:p w14:paraId="40DDF344" w14:textId="77777777"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lang w:eastAsia="en-PH"/>
              </w:rPr>
              <w:t>6,738,432.97</w:t>
            </w:r>
          </w:p>
        </w:tc>
      </w:tr>
      <w:tr w:rsidR="00312FC6" w:rsidRPr="004C4F6D" w14:paraId="7E35BFAA" w14:textId="77777777">
        <w:trPr>
          <w:trHeight w:val="22"/>
          <w:jc w:val="center"/>
        </w:trPr>
        <w:tc>
          <w:tcPr>
            <w:tcW w:w="6093" w:type="dxa"/>
            <w:shd w:val="clear" w:color="auto" w:fill="auto"/>
          </w:tcPr>
          <w:p w14:paraId="76C6863B" w14:textId="77777777" w:rsidR="00312FC6" w:rsidRPr="004C4F6D" w:rsidRDefault="003919DE" w:rsidP="004C4F6D">
            <w:pPr>
              <w:spacing w:after="0" w:line="240" w:lineRule="auto"/>
              <w:ind w:right="133"/>
              <w:rPr>
                <w:rFonts w:ascii="Arial" w:eastAsia="Arial Narrow" w:hAnsi="Arial" w:cs="Arial"/>
                <w:bCs/>
                <w:color w:val="000000"/>
                <w:lang w:eastAsia="en-PH"/>
              </w:rPr>
            </w:pPr>
            <w:r w:rsidRPr="004C4F6D">
              <w:rPr>
                <w:rFonts w:ascii="Arial" w:eastAsia="Arial Narrow" w:hAnsi="Arial" w:cs="Arial"/>
                <w:bCs/>
                <w:color w:val="000000"/>
                <w:lang w:eastAsia="en-PH"/>
              </w:rPr>
              <w:t>CAR</w:t>
            </w:r>
          </w:p>
        </w:tc>
        <w:tc>
          <w:tcPr>
            <w:tcW w:w="2460" w:type="dxa"/>
            <w:shd w:val="clear" w:color="auto" w:fill="auto"/>
          </w:tcPr>
          <w:p w14:paraId="39188F14" w14:textId="77777777"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lang w:eastAsia="en-PH"/>
              </w:rPr>
              <w:t>1,175,351.23</w:t>
            </w:r>
          </w:p>
        </w:tc>
      </w:tr>
      <w:tr w:rsidR="00312FC6" w:rsidRPr="004C4F6D" w14:paraId="2F744E8B" w14:textId="77777777">
        <w:trPr>
          <w:trHeight w:val="22"/>
          <w:jc w:val="center"/>
        </w:trPr>
        <w:tc>
          <w:tcPr>
            <w:tcW w:w="6093" w:type="dxa"/>
            <w:shd w:val="clear" w:color="auto" w:fill="auto"/>
          </w:tcPr>
          <w:p w14:paraId="6F06CEF2" w14:textId="77777777" w:rsidR="00312FC6" w:rsidRPr="004C4F6D" w:rsidRDefault="003919DE" w:rsidP="004C4F6D">
            <w:pPr>
              <w:spacing w:after="0" w:line="240" w:lineRule="auto"/>
              <w:ind w:right="133"/>
              <w:rPr>
                <w:rFonts w:ascii="Arial" w:eastAsia="Arial Narrow" w:hAnsi="Arial" w:cs="Arial"/>
                <w:bCs/>
                <w:color w:val="000000"/>
                <w:lang w:eastAsia="en-PH"/>
              </w:rPr>
            </w:pPr>
            <w:r w:rsidRPr="004C4F6D">
              <w:rPr>
                <w:rFonts w:ascii="Arial" w:eastAsia="Arial Narrow" w:hAnsi="Arial" w:cs="Arial"/>
                <w:bCs/>
                <w:color w:val="000000"/>
                <w:lang w:eastAsia="en-PH"/>
              </w:rPr>
              <w:lastRenderedPageBreak/>
              <w:t>REGION I</w:t>
            </w:r>
          </w:p>
        </w:tc>
        <w:tc>
          <w:tcPr>
            <w:tcW w:w="2460" w:type="dxa"/>
            <w:shd w:val="clear" w:color="auto" w:fill="auto"/>
          </w:tcPr>
          <w:p w14:paraId="733E1338" w14:textId="77777777"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lang w:eastAsia="en-PH"/>
              </w:rPr>
              <w:t>2,618,155.60</w:t>
            </w:r>
          </w:p>
        </w:tc>
      </w:tr>
      <w:tr w:rsidR="00312FC6" w:rsidRPr="004C4F6D" w14:paraId="650F0755" w14:textId="77777777">
        <w:trPr>
          <w:trHeight w:val="22"/>
          <w:jc w:val="center"/>
        </w:trPr>
        <w:tc>
          <w:tcPr>
            <w:tcW w:w="6093" w:type="dxa"/>
            <w:shd w:val="clear" w:color="auto" w:fill="auto"/>
          </w:tcPr>
          <w:p w14:paraId="1BF60670" w14:textId="77777777" w:rsidR="00312FC6" w:rsidRPr="004C4F6D" w:rsidRDefault="003919DE" w:rsidP="004C4F6D">
            <w:pPr>
              <w:spacing w:after="0" w:line="240" w:lineRule="auto"/>
              <w:ind w:right="133"/>
              <w:rPr>
                <w:rFonts w:ascii="Arial" w:eastAsia="Arial Narrow" w:hAnsi="Arial" w:cs="Arial"/>
                <w:bCs/>
                <w:color w:val="000000"/>
                <w:lang w:eastAsia="en-PH"/>
              </w:rPr>
            </w:pPr>
            <w:r w:rsidRPr="004C4F6D">
              <w:rPr>
                <w:rFonts w:ascii="Arial" w:eastAsia="Arial Narrow" w:hAnsi="Arial" w:cs="Arial"/>
                <w:bCs/>
                <w:color w:val="000000"/>
                <w:lang w:eastAsia="en-PH"/>
              </w:rPr>
              <w:t>REGION II</w:t>
            </w:r>
          </w:p>
        </w:tc>
        <w:tc>
          <w:tcPr>
            <w:tcW w:w="2460" w:type="dxa"/>
            <w:shd w:val="clear" w:color="auto" w:fill="auto"/>
          </w:tcPr>
          <w:p w14:paraId="4861A54B" w14:textId="77777777"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lang w:eastAsia="en-PH"/>
              </w:rPr>
              <w:t>3,179,866.97</w:t>
            </w:r>
          </w:p>
        </w:tc>
      </w:tr>
      <w:tr w:rsidR="00312FC6" w:rsidRPr="004C4F6D" w14:paraId="1EF07201" w14:textId="77777777">
        <w:trPr>
          <w:trHeight w:val="22"/>
          <w:jc w:val="center"/>
        </w:trPr>
        <w:tc>
          <w:tcPr>
            <w:tcW w:w="6093" w:type="dxa"/>
            <w:shd w:val="clear" w:color="auto" w:fill="auto"/>
          </w:tcPr>
          <w:p w14:paraId="0C9946F6" w14:textId="77777777" w:rsidR="00312FC6" w:rsidRPr="004C4F6D" w:rsidRDefault="003919DE" w:rsidP="004C4F6D">
            <w:pPr>
              <w:spacing w:after="0" w:line="240" w:lineRule="auto"/>
              <w:ind w:right="133"/>
              <w:rPr>
                <w:rFonts w:ascii="Arial" w:eastAsia="Arial Narrow" w:hAnsi="Arial" w:cs="Arial"/>
                <w:bCs/>
                <w:color w:val="000000"/>
                <w:lang w:eastAsia="en-PH"/>
              </w:rPr>
            </w:pPr>
            <w:r w:rsidRPr="004C4F6D">
              <w:rPr>
                <w:rFonts w:ascii="Arial" w:eastAsia="Arial Narrow" w:hAnsi="Arial" w:cs="Arial"/>
                <w:bCs/>
                <w:color w:val="000000"/>
                <w:lang w:eastAsia="en-PH"/>
              </w:rPr>
              <w:t>REGION IV</w:t>
            </w:r>
          </w:p>
        </w:tc>
        <w:tc>
          <w:tcPr>
            <w:tcW w:w="2460" w:type="dxa"/>
            <w:shd w:val="clear" w:color="auto" w:fill="auto"/>
          </w:tcPr>
          <w:p w14:paraId="6F44013D" w14:textId="77777777"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lang w:eastAsia="en-PH"/>
              </w:rPr>
              <w:t>1,441,100.00</w:t>
            </w:r>
          </w:p>
        </w:tc>
      </w:tr>
      <w:tr w:rsidR="00312FC6" w:rsidRPr="004C4F6D" w14:paraId="0A0804A2" w14:textId="77777777">
        <w:trPr>
          <w:trHeight w:val="22"/>
          <w:jc w:val="center"/>
        </w:trPr>
        <w:tc>
          <w:tcPr>
            <w:tcW w:w="6093" w:type="dxa"/>
            <w:shd w:val="clear" w:color="auto" w:fill="auto"/>
          </w:tcPr>
          <w:p w14:paraId="0952591F" w14:textId="77777777" w:rsidR="00312FC6" w:rsidRPr="004C4F6D" w:rsidRDefault="003919DE" w:rsidP="004C4F6D">
            <w:pPr>
              <w:spacing w:after="0" w:line="240" w:lineRule="auto"/>
              <w:ind w:right="133"/>
              <w:rPr>
                <w:rFonts w:ascii="Arial" w:eastAsia="Arial Narrow" w:hAnsi="Arial" w:cs="Arial"/>
                <w:bCs/>
                <w:color w:val="000000"/>
                <w:lang w:eastAsia="en-PH"/>
              </w:rPr>
            </w:pPr>
            <w:r w:rsidRPr="004C4F6D">
              <w:rPr>
                <w:rFonts w:ascii="Arial" w:eastAsia="Arial Narrow" w:hAnsi="Arial" w:cs="Arial"/>
                <w:bCs/>
                <w:color w:val="000000"/>
                <w:lang w:eastAsia="en-PH"/>
              </w:rPr>
              <w:t>REGION VI</w:t>
            </w:r>
          </w:p>
        </w:tc>
        <w:tc>
          <w:tcPr>
            <w:tcW w:w="2460" w:type="dxa"/>
            <w:shd w:val="clear" w:color="auto" w:fill="auto"/>
          </w:tcPr>
          <w:p w14:paraId="3731BC0D" w14:textId="77777777"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lang w:eastAsia="en-PH"/>
              </w:rPr>
              <w:t>94,434,706.01</w:t>
            </w:r>
          </w:p>
        </w:tc>
      </w:tr>
      <w:tr w:rsidR="00312FC6" w:rsidRPr="004C4F6D" w14:paraId="6CEAE08D" w14:textId="77777777">
        <w:trPr>
          <w:trHeight w:val="22"/>
          <w:jc w:val="center"/>
        </w:trPr>
        <w:tc>
          <w:tcPr>
            <w:tcW w:w="6093" w:type="dxa"/>
            <w:shd w:val="clear" w:color="auto" w:fill="auto"/>
          </w:tcPr>
          <w:p w14:paraId="70A68062" w14:textId="77777777" w:rsidR="00312FC6" w:rsidRPr="004C4F6D" w:rsidRDefault="003919DE" w:rsidP="004C4F6D">
            <w:pPr>
              <w:spacing w:after="0" w:line="240" w:lineRule="auto"/>
              <w:ind w:right="133"/>
              <w:rPr>
                <w:rFonts w:ascii="Arial" w:eastAsia="Arial Narrow" w:hAnsi="Arial" w:cs="Arial"/>
                <w:bCs/>
                <w:color w:val="000000"/>
                <w:lang w:eastAsia="en-PH"/>
              </w:rPr>
            </w:pPr>
            <w:r w:rsidRPr="004C4F6D">
              <w:rPr>
                <w:rFonts w:ascii="Arial" w:eastAsia="Arial Narrow" w:hAnsi="Arial" w:cs="Arial"/>
                <w:bCs/>
                <w:color w:val="000000"/>
                <w:lang w:eastAsia="en-PH"/>
              </w:rPr>
              <w:t>REGION VIII</w:t>
            </w:r>
          </w:p>
        </w:tc>
        <w:tc>
          <w:tcPr>
            <w:tcW w:w="2460" w:type="dxa"/>
            <w:shd w:val="clear" w:color="auto" w:fill="auto"/>
          </w:tcPr>
          <w:p w14:paraId="3E981F05" w14:textId="77777777"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lang w:eastAsia="en-PH"/>
              </w:rPr>
              <w:t>3,665,893.82</w:t>
            </w:r>
          </w:p>
        </w:tc>
      </w:tr>
      <w:tr w:rsidR="00312FC6" w:rsidRPr="004C4F6D" w14:paraId="5D24D52A" w14:textId="77777777">
        <w:trPr>
          <w:trHeight w:val="22"/>
          <w:jc w:val="center"/>
        </w:trPr>
        <w:tc>
          <w:tcPr>
            <w:tcW w:w="6093" w:type="dxa"/>
            <w:tcBorders>
              <w:bottom w:val="single" w:sz="4" w:space="0" w:color="auto"/>
            </w:tcBorders>
            <w:shd w:val="clear" w:color="auto" w:fill="auto"/>
          </w:tcPr>
          <w:p w14:paraId="09B563FB" w14:textId="77777777" w:rsidR="00312FC6" w:rsidRPr="004C4F6D" w:rsidRDefault="003919DE" w:rsidP="004C4F6D">
            <w:pPr>
              <w:spacing w:after="0" w:line="240" w:lineRule="auto"/>
              <w:ind w:right="133"/>
              <w:rPr>
                <w:rFonts w:ascii="Arial" w:eastAsia="Arial Narrow" w:hAnsi="Arial" w:cs="Arial"/>
                <w:bCs/>
                <w:color w:val="000000"/>
                <w:lang w:eastAsia="en-PH"/>
              </w:rPr>
            </w:pPr>
            <w:r w:rsidRPr="004C4F6D">
              <w:rPr>
                <w:rFonts w:ascii="Arial" w:eastAsia="Arial Narrow" w:hAnsi="Arial" w:cs="Arial"/>
                <w:bCs/>
                <w:color w:val="000000"/>
                <w:lang w:eastAsia="en-PH"/>
              </w:rPr>
              <w:t>REGION XI</w:t>
            </w:r>
          </w:p>
        </w:tc>
        <w:tc>
          <w:tcPr>
            <w:tcW w:w="2460" w:type="dxa"/>
            <w:tcBorders>
              <w:bottom w:val="single" w:sz="4" w:space="0" w:color="auto"/>
            </w:tcBorders>
            <w:shd w:val="clear" w:color="auto" w:fill="auto"/>
          </w:tcPr>
          <w:p w14:paraId="0EC9573F" w14:textId="77777777"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lang w:eastAsia="en-PH"/>
              </w:rPr>
              <w:t>4,532,568.26</w:t>
            </w:r>
          </w:p>
        </w:tc>
      </w:tr>
      <w:tr w:rsidR="00312FC6" w:rsidRPr="004C4F6D" w14:paraId="32CBCB6C" w14:textId="77777777">
        <w:trPr>
          <w:trHeight w:val="22"/>
          <w:jc w:val="center"/>
        </w:trPr>
        <w:tc>
          <w:tcPr>
            <w:tcW w:w="6093" w:type="dxa"/>
            <w:tcBorders>
              <w:top w:val="single" w:sz="4" w:space="0" w:color="auto"/>
              <w:bottom w:val="double" w:sz="4" w:space="0" w:color="auto"/>
            </w:tcBorders>
            <w:shd w:val="clear" w:color="auto" w:fill="auto"/>
          </w:tcPr>
          <w:p w14:paraId="69129ED2" w14:textId="77777777" w:rsidR="00312FC6" w:rsidRPr="004C4F6D" w:rsidRDefault="003919DE" w:rsidP="004C4F6D">
            <w:pPr>
              <w:spacing w:after="0" w:line="240" w:lineRule="auto"/>
              <w:ind w:right="133"/>
              <w:rPr>
                <w:rFonts w:ascii="Arial" w:eastAsia="Arial Narrow" w:hAnsi="Arial" w:cs="Arial"/>
                <w:color w:val="000000"/>
                <w:lang w:eastAsia="en-PH"/>
              </w:rPr>
            </w:pPr>
            <w:r w:rsidRPr="004C4F6D">
              <w:rPr>
                <w:rFonts w:ascii="Arial" w:eastAsia="Arial Narrow" w:hAnsi="Arial" w:cs="Arial"/>
                <w:b/>
                <w:color w:val="000000"/>
                <w:lang w:eastAsia="en-PH"/>
              </w:rPr>
              <w:t>TOTAL</w:t>
            </w:r>
          </w:p>
        </w:tc>
        <w:tc>
          <w:tcPr>
            <w:tcW w:w="2460" w:type="dxa"/>
            <w:tcBorders>
              <w:top w:val="single" w:sz="4" w:space="0" w:color="auto"/>
              <w:bottom w:val="double" w:sz="4" w:space="0" w:color="auto"/>
            </w:tcBorders>
            <w:shd w:val="clear" w:color="auto" w:fill="auto"/>
          </w:tcPr>
          <w:p w14:paraId="0A63D414" w14:textId="1FB7308C" w:rsidR="00312FC6" w:rsidRPr="004C4F6D" w:rsidRDefault="003919DE" w:rsidP="004C4F6D">
            <w:pPr>
              <w:spacing w:after="0" w:line="240" w:lineRule="auto"/>
              <w:ind w:right="133"/>
              <w:jc w:val="right"/>
              <w:rPr>
                <w:rFonts w:ascii="Arial" w:eastAsia="Arial Narrow" w:hAnsi="Arial" w:cs="Arial"/>
                <w:lang w:eastAsia="en-PH"/>
              </w:rPr>
            </w:pPr>
            <w:r w:rsidRPr="004C4F6D">
              <w:rPr>
                <w:rFonts w:ascii="Arial" w:eastAsia="Arial Narrow" w:hAnsi="Arial" w:cs="Arial"/>
                <w:b/>
                <w:lang w:eastAsia="en-PH"/>
              </w:rPr>
              <w:t xml:space="preserve"> 143,109,710.51</w:t>
            </w:r>
          </w:p>
        </w:tc>
      </w:tr>
    </w:tbl>
    <w:p w14:paraId="4F47C500" w14:textId="77777777" w:rsidR="00312FC6" w:rsidRPr="004C4F6D" w:rsidRDefault="00312FC6" w:rsidP="004C4F6D">
      <w:pPr>
        <w:spacing w:after="0" w:line="240" w:lineRule="auto"/>
        <w:ind w:left="917" w:right="133"/>
        <w:jc w:val="both"/>
        <w:rPr>
          <w:rFonts w:ascii="Arial" w:eastAsia="Times New Roman" w:hAnsi="Arial" w:cs="Arial"/>
          <w:lang w:eastAsia="en-PH"/>
        </w:rPr>
      </w:pPr>
    </w:p>
    <w:p w14:paraId="0F5D77E1" w14:textId="29FEE4A6" w:rsidR="00312FC6" w:rsidRPr="004C4F6D" w:rsidRDefault="007638D5"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color w:val="000000"/>
        </w:rPr>
        <w:t>Verification</w:t>
      </w:r>
      <w:r w:rsidR="003919DE" w:rsidRPr="004C4F6D">
        <w:rPr>
          <w:rFonts w:ascii="Arial" w:eastAsia="Arial Narrow" w:hAnsi="Arial" w:cs="Arial"/>
          <w:color w:val="000000"/>
        </w:rPr>
        <w:t xml:space="preserve"> of the </w:t>
      </w:r>
      <w:r w:rsidRPr="004C4F6D">
        <w:rPr>
          <w:rFonts w:ascii="Arial" w:eastAsia="Arial Narrow" w:hAnsi="Arial" w:cs="Arial"/>
          <w:color w:val="000000"/>
        </w:rPr>
        <w:t>payable</w:t>
      </w:r>
      <w:r w:rsidR="003919DE" w:rsidRPr="004C4F6D">
        <w:rPr>
          <w:rFonts w:ascii="Arial" w:eastAsia="Arial Narrow" w:hAnsi="Arial" w:cs="Arial"/>
          <w:color w:val="000000"/>
        </w:rPr>
        <w:t xml:space="preserve"> balances </w:t>
      </w:r>
      <w:r w:rsidRPr="004C4F6D">
        <w:rPr>
          <w:rFonts w:ascii="Arial" w:eastAsia="Arial Narrow" w:hAnsi="Arial" w:cs="Arial"/>
          <w:color w:val="000000"/>
        </w:rPr>
        <w:t xml:space="preserve">showed </w:t>
      </w:r>
      <w:r w:rsidR="00A43E06" w:rsidRPr="004C4F6D">
        <w:rPr>
          <w:rFonts w:ascii="Arial" w:eastAsia="Arial Narrow" w:hAnsi="Arial" w:cs="Arial"/>
          <w:color w:val="000000"/>
        </w:rPr>
        <w:t xml:space="preserve">that the amount of </w:t>
      </w:r>
      <w:r w:rsidR="0096374E" w:rsidRPr="004C4F6D">
        <w:rPr>
          <w:rFonts w:ascii="Arial" w:eastAsia="Arial Narrow" w:hAnsi="Arial" w:cs="Arial"/>
          <w:b/>
          <w:color w:val="000000"/>
        </w:rPr>
        <w:t>P</w:t>
      </w:r>
      <w:r w:rsidR="00A43E06" w:rsidRPr="004C4F6D">
        <w:rPr>
          <w:rFonts w:ascii="Arial" w:eastAsia="Arial Narrow" w:hAnsi="Arial" w:cs="Arial"/>
          <w:b/>
          <w:lang w:eastAsia="en-PH"/>
        </w:rPr>
        <w:t>143,109,710.51 include</w:t>
      </w:r>
      <w:r w:rsidR="00C33F20" w:rsidRPr="004C4F6D">
        <w:rPr>
          <w:rFonts w:ascii="Arial" w:eastAsia="Arial Narrow" w:hAnsi="Arial" w:cs="Arial"/>
          <w:b/>
          <w:lang w:eastAsia="en-PH"/>
        </w:rPr>
        <w:t>s</w:t>
      </w:r>
      <w:r w:rsidR="00A43E06" w:rsidRPr="004C4F6D">
        <w:rPr>
          <w:rFonts w:ascii="Arial" w:eastAsia="Arial Narrow" w:hAnsi="Arial" w:cs="Arial"/>
          <w:b/>
          <w:lang w:eastAsia="en-PH"/>
        </w:rPr>
        <w:t xml:space="preserve"> various </w:t>
      </w:r>
      <w:r w:rsidR="00C33F20" w:rsidRPr="004C4F6D">
        <w:rPr>
          <w:rFonts w:ascii="Arial" w:eastAsia="Arial Narrow" w:hAnsi="Arial" w:cs="Arial"/>
          <w:b/>
          <w:lang w:eastAsia="en-PH"/>
        </w:rPr>
        <w:t>transactions</w:t>
      </w:r>
      <w:r w:rsidR="00A43E06" w:rsidRPr="004C4F6D">
        <w:rPr>
          <w:rFonts w:ascii="Arial" w:eastAsia="Arial Narrow" w:hAnsi="Arial" w:cs="Arial"/>
          <w:b/>
          <w:lang w:eastAsia="en-PH"/>
        </w:rPr>
        <w:t xml:space="preserve"> which has been outstanding from 1 year to 10 years (details in Annex </w:t>
      </w:r>
      <w:r w:rsidR="0096374E" w:rsidRPr="004C4F6D">
        <w:rPr>
          <w:rFonts w:ascii="Arial" w:eastAsia="Arial Narrow" w:hAnsi="Arial" w:cs="Arial"/>
          <w:b/>
          <w:lang w:eastAsia="en-PH"/>
        </w:rPr>
        <w:t>A)</w:t>
      </w:r>
      <w:r w:rsidR="004F160F">
        <w:rPr>
          <w:rFonts w:ascii="Arial" w:eastAsia="Arial Narrow" w:hAnsi="Arial" w:cs="Arial"/>
          <w:b/>
          <w:lang w:eastAsia="en-PH"/>
        </w:rPr>
        <w:t>.</w:t>
      </w:r>
    </w:p>
    <w:p w14:paraId="0FCCB547" w14:textId="77777777" w:rsidR="00312FC6" w:rsidRPr="004C4F6D" w:rsidRDefault="00312FC6" w:rsidP="004C4F6D">
      <w:pPr>
        <w:pStyle w:val="ListParagraph"/>
        <w:spacing w:after="0" w:line="240" w:lineRule="auto"/>
        <w:ind w:left="0" w:right="133"/>
        <w:jc w:val="both"/>
        <w:rPr>
          <w:rFonts w:ascii="Arial" w:eastAsia="Arial Narrow" w:hAnsi="Arial" w:cs="Arial"/>
          <w:color w:val="000000"/>
        </w:rPr>
      </w:pPr>
    </w:p>
    <w:p w14:paraId="68345830" w14:textId="465BA584" w:rsidR="00312FC6" w:rsidRPr="004C4F6D" w:rsidRDefault="00047741"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color w:val="000000"/>
        </w:rPr>
        <w:t>V</w:t>
      </w:r>
      <w:r w:rsidR="003919DE" w:rsidRPr="004C4F6D">
        <w:rPr>
          <w:rFonts w:ascii="Arial" w:eastAsia="Arial Narrow" w:hAnsi="Arial" w:cs="Arial"/>
          <w:color w:val="000000"/>
        </w:rPr>
        <w:t xml:space="preserve">erification </w:t>
      </w:r>
      <w:r w:rsidRPr="004C4F6D">
        <w:rPr>
          <w:rFonts w:ascii="Arial" w:eastAsia="Arial Narrow" w:hAnsi="Arial" w:cs="Arial"/>
          <w:color w:val="000000"/>
        </w:rPr>
        <w:t xml:space="preserve">further </w:t>
      </w:r>
      <w:r w:rsidR="003919DE" w:rsidRPr="004C4F6D">
        <w:rPr>
          <w:rFonts w:ascii="Arial" w:eastAsia="Arial Narrow" w:hAnsi="Arial" w:cs="Arial"/>
          <w:color w:val="000000"/>
        </w:rPr>
        <w:t xml:space="preserve">disclosed the following </w:t>
      </w:r>
      <w:r w:rsidR="00C33F20" w:rsidRPr="004C4F6D">
        <w:rPr>
          <w:rFonts w:ascii="Arial" w:eastAsia="Arial Narrow" w:hAnsi="Arial" w:cs="Arial"/>
          <w:color w:val="000000"/>
        </w:rPr>
        <w:t>causes</w:t>
      </w:r>
      <w:r w:rsidR="003919DE" w:rsidRPr="004C4F6D">
        <w:rPr>
          <w:rFonts w:ascii="Arial" w:eastAsia="Arial Narrow" w:hAnsi="Arial" w:cs="Arial"/>
          <w:color w:val="000000"/>
        </w:rPr>
        <w:t xml:space="preserve"> that contributed in the accumulation of the long outstanding A/P</w:t>
      </w:r>
      <w:r w:rsidRPr="004C4F6D">
        <w:rPr>
          <w:rFonts w:ascii="Arial" w:eastAsia="Arial Narrow" w:hAnsi="Arial" w:cs="Arial"/>
          <w:color w:val="000000"/>
        </w:rPr>
        <w:t>s</w:t>
      </w:r>
      <w:r w:rsidR="003919DE" w:rsidRPr="004C4F6D">
        <w:rPr>
          <w:rFonts w:ascii="Arial" w:eastAsia="Arial Narrow" w:hAnsi="Arial" w:cs="Arial"/>
          <w:color w:val="000000"/>
        </w:rPr>
        <w:t>:</w:t>
      </w:r>
    </w:p>
    <w:p w14:paraId="3B282AB0" w14:textId="77777777" w:rsidR="00312FC6" w:rsidRPr="004C4F6D" w:rsidRDefault="00312FC6" w:rsidP="004C4F6D">
      <w:pPr>
        <w:pStyle w:val="ListParagraph"/>
        <w:spacing w:after="0" w:line="240" w:lineRule="auto"/>
        <w:ind w:left="0" w:right="133"/>
        <w:jc w:val="both"/>
        <w:rPr>
          <w:rFonts w:ascii="Arial" w:eastAsia="Arial Narrow" w:hAnsi="Arial" w:cs="Arial"/>
        </w:rPr>
      </w:pPr>
    </w:p>
    <w:p w14:paraId="0EFA8871" w14:textId="1D5831AD" w:rsidR="00312FC6" w:rsidRPr="004C4F6D" w:rsidRDefault="003919DE" w:rsidP="004C4F6D">
      <w:pPr>
        <w:numPr>
          <w:ilvl w:val="1"/>
          <w:numId w:val="32"/>
        </w:numPr>
        <w:tabs>
          <w:tab w:val="left" w:pos="0"/>
          <w:tab w:val="left" w:pos="284"/>
          <w:tab w:val="left" w:pos="820"/>
        </w:tabs>
        <w:spacing w:after="0" w:line="240" w:lineRule="auto"/>
        <w:ind w:left="1134" w:hanging="425"/>
        <w:jc w:val="both"/>
        <w:rPr>
          <w:rFonts w:ascii="Arial" w:eastAsia="Arial Narrow" w:hAnsi="Arial" w:cs="Arial"/>
          <w:bCs/>
          <w:iCs/>
          <w:color w:val="000000"/>
        </w:rPr>
      </w:pPr>
      <w:r w:rsidRPr="004C4F6D">
        <w:rPr>
          <w:rFonts w:ascii="Arial" w:eastAsia="Arial Narrow" w:hAnsi="Arial" w:cs="Arial"/>
          <w:bCs/>
          <w:iCs/>
          <w:color w:val="000000"/>
        </w:rPr>
        <w:t xml:space="preserve">AU’s and the </w:t>
      </w:r>
      <w:r w:rsidR="00EE59CC" w:rsidRPr="004C4F6D">
        <w:rPr>
          <w:rFonts w:ascii="Arial" w:eastAsia="Arial Narrow" w:hAnsi="Arial" w:cs="Arial"/>
          <w:bCs/>
          <w:iCs/>
          <w:color w:val="000000"/>
        </w:rPr>
        <w:t>b</w:t>
      </w:r>
      <w:r w:rsidRPr="004C4F6D">
        <w:rPr>
          <w:rFonts w:ascii="Arial" w:eastAsia="Arial Narrow" w:hAnsi="Arial" w:cs="Arial"/>
          <w:bCs/>
          <w:iCs/>
          <w:color w:val="000000"/>
        </w:rPr>
        <w:t xml:space="preserve">ranches’ non-compliance </w:t>
      </w:r>
      <w:r w:rsidR="00EE59CC" w:rsidRPr="004C4F6D">
        <w:rPr>
          <w:rFonts w:ascii="Arial" w:eastAsia="Arial Narrow" w:hAnsi="Arial" w:cs="Arial"/>
          <w:bCs/>
          <w:iCs/>
          <w:color w:val="000000"/>
        </w:rPr>
        <w:t xml:space="preserve">on provisions of the monthly report of outstanding APs </w:t>
      </w:r>
      <w:r w:rsidR="009A228B" w:rsidRPr="004C4F6D">
        <w:rPr>
          <w:rFonts w:ascii="Arial" w:eastAsia="Arial Narrow" w:hAnsi="Arial" w:cs="Arial"/>
          <w:bCs/>
          <w:iCs/>
          <w:color w:val="000000"/>
        </w:rPr>
        <w:t>contrary to</w:t>
      </w:r>
      <w:r w:rsidR="00EE59CC" w:rsidRPr="004C4F6D">
        <w:rPr>
          <w:rFonts w:ascii="Arial" w:eastAsia="Arial Narrow" w:hAnsi="Arial" w:cs="Arial"/>
          <w:bCs/>
          <w:iCs/>
          <w:color w:val="000000"/>
        </w:rPr>
        <w:t xml:space="preserve"> </w:t>
      </w:r>
      <w:r w:rsidRPr="004C4F6D">
        <w:rPr>
          <w:rFonts w:ascii="Arial" w:eastAsia="Arial Narrow" w:hAnsi="Arial" w:cs="Arial"/>
          <w:bCs/>
          <w:iCs/>
          <w:color w:val="000000"/>
        </w:rPr>
        <w:t>Section B.3.a</w:t>
      </w:r>
      <w:r w:rsidR="00047741" w:rsidRPr="004C4F6D">
        <w:rPr>
          <w:rFonts w:ascii="Arial" w:eastAsia="Arial Narrow" w:hAnsi="Arial" w:cs="Arial"/>
          <w:bCs/>
          <w:iCs/>
          <w:color w:val="000000"/>
        </w:rPr>
        <w:t xml:space="preserve"> </w:t>
      </w:r>
      <w:r w:rsidR="001B69E9">
        <w:rPr>
          <w:rFonts w:ascii="Arial" w:eastAsia="Arial Narrow" w:hAnsi="Arial" w:cs="Arial"/>
          <w:bCs/>
          <w:iCs/>
          <w:color w:val="000000"/>
        </w:rPr>
        <w:t>and Section B.3.b, respectively.</w:t>
      </w:r>
      <w:r w:rsidRPr="004C4F6D">
        <w:rPr>
          <w:rFonts w:ascii="Arial" w:eastAsia="Arial Narrow" w:hAnsi="Arial" w:cs="Arial"/>
          <w:bCs/>
          <w:iCs/>
          <w:color w:val="000000"/>
        </w:rPr>
        <w:t xml:space="preserve"> </w:t>
      </w:r>
    </w:p>
    <w:p w14:paraId="3C511D1C" w14:textId="77777777" w:rsidR="00312FC6" w:rsidRPr="004C4F6D" w:rsidRDefault="00312FC6" w:rsidP="004C4F6D">
      <w:pPr>
        <w:tabs>
          <w:tab w:val="left" w:pos="0"/>
          <w:tab w:val="left" w:pos="284"/>
          <w:tab w:val="left" w:pos="820"/>
        </w:tabs>
        <w:spacing w:after="0" w:line="240" w:lineRule="auto"/>
        <w:ind w:left="1134" w:right="133" w:hanging="425"/>
        <w:jc w:val="both"/>
        <w:rPr>
          <w:rFonts w:ascii="Arial" w:eastAsia="Arial Narrow" w:hAnsi="Arial" w:cs="Arial"/>
          <w:color w:val="000000"/>
        </w:rPr>
      </w:pPr>
    </w:p>
    <w:p w14:paraId="0ED68EA5" w14:textId="717A465D" w:rsidR="00312FC6" w:rsidRPr="004C4F6D" w:rsidRDefault="003919DE" w:rsidP="004C4F6D">
      <w:pPr>
        <w:tabs>
          <w:tab w:val="left" w:pos="284"/>
          <w:tab w:val="left" w:pos="820"/>
        </w:tabs>
        <w:spacing w:after="0" w:line="240" w:lineRule="auto"/>
        <w:ind w:left="1134" w:hanging="425"/>
        <w:jc w:val="both"/>
        <w:rPr>
          <w:rFonts w:ascii="Arial" w:eastAsia="Arial Narrow" w:hAnsi="Arial" w:cs="Arial"/>
        </w:rPr>
      </w:pPr>
      <w:r w:rsidRPr="004C4F6D">
        <w:rPr>
          <w:rFonts w:ascii="Arial" w:eastAsia="Arial Narrow" w:hAnsi="Arial" w:cs="Arial"/>
        </w:rPr>
        <w:tab/>
      </w:r>
      <w:r w:rsidRPr="004C4F6D">
        <w:rPr>
          <w:rFonts w:ascii="Arial" w:eastAsia="Arial Narrow" w:hAnsi="Arial" w:cs="Arial"/>
        </w:rPr>
        <w:tab/>
        <w:t>ACs averred that t</w:t>
      </w:r>
      <w:r w:rsidR="00047741" w:rsidRPr="004C4F6D">
        <w:rPr>
          <w:rFonts w:ascii="Arial" w:eastAsia="Arial Narrow" w:hAnsi="Arial" w:cs="Arial"/>
        </w:rPr>
        <w:t>he branches are</w:t>
      </w:r>
      <w:r w:rsidRPr="004C4F6D">
        <w:rPr>
          <w:rFonts w:ascii="Arial" w:eastAsia="Arial Narrow" w:hAnsi="Arial" w:cs="Arial"/>
        </w:rPr>
        <w:t xml:space="preserve"> regularly furnished the required monthly report on outstanding A/P</w:t>
      </w:r>
      <w:r w:rsidR="00047741" w:rsidRPr="004C4F6D">
        <w:rPr>
          <w:rFonts w:ascii="Arial" w:eastAsia="Arial Narrow" w:hAnsi="Arial" w:cs="Arial"/>
        </w:rPr>
        <w:t>s</w:t>
      </w:r>
      <w:r w:rsidRPr="004C4F6D">
        <w:rPr>
          <w:rFonts w:ascii="Arial" w:eastAsia="Arial Narrow" w:hAnsi="Arial" w:cs="Arial"/>
        </w:rPr>
        <w:t xml:space="preserve"> </w:t>
      </w:r>
      <w:r w:rsidR="00047741" w:rsidRPr="004C4F6D">
        <w:rPr>
          <w:rFonts w:ascii="Arial" w:eastAsia="Arial Narrow" w:hAnsi="Arial" w:cs="Arial"/>
        </w:rPr>
        <w:t>but</w:t>
      </w:r>
      <w:r w:rsidRPr="004C4F6D">
        <w:rPr>
          <w:rFonts w:ascii="Arial" w:eastAsia="Arial Narrow" w:hAnsi="Arial" w:cs="Arial"/>
        </w:rPr>
        <w:t xml:space="preserve"> the ranches did not provide updates on the status of A/Ps and the actions taken within 30 days from receipt of the report. On the other hand, </w:t>
      </w:r>
      <w:r w:rsidR="00047741" w:rsidRPr="004C4F6D">
        <w:rPr>
          <w:rFonts w:ascii="Arial" w:eastAsia="Arial Narrow" w:hAnsi="Arial" w:cs="Arial"/>
        </w:rPr>
        <w:t>the b</w:t>
      </w:r>
      <w:r w:rsidRPr="004C4F6D">
        <w:rPr>
          <w:rFonts w:ascii="Arial" w:eastAsia="Arial Narrow" w:hAnsi="Arial" w:cs="Arial"/>
        </w:rPr>
        <w:t xml:space="preserve">ranches claimed that the ACs </w:t>
      </w:r>
      <w:r w:rsidR="00047741" w:rsidRPr="004C4F6D">
        <w:rPr>
          <w:rFonts w:ascii="Arial" w:eastAsia="Arial Narrow" w:hAnsi="Arial" w:cs="Arial"/>
        </w:rPr>
        <w:t>do not forward the</w:t>
      </w:r>
      <w:r w:rsidRPr="004C4F6D">
        <w:rPr>
          <w:rFonts w:ascii="Arial" w:eastAsia="Arial Narrow" w:hAnsi="Arial" w:cs="Arial"/>
        </w:rPr>
        <w:t xml:space="preserve"> </w:t>
      </w:r>
      <w:r w:rsidR="00047741" w:rsidRPr="004C4F6D">
        <w:rPr>
          <w:rFonts w:ascii="Arial" w:eastAsia="Arial Narrow" w:hAnsi="Arial" w:cs="Arial"/>
        </w:rPr>
        <w:t xml:space="preserve">required monthly report on outstanding A/Ps </w:t>
      </w:r>
      <w:r w:rsidRPr="004C4F6D">
        <w:rPr>
          <w:rFonts w:ascii="Arial" w:eastAsia="Arial Narrow" w:hAnsi="Arial" w:cs="Arial"/>
        </w:rPr>
        <w:t>to them within ten (10) banking days after month-end for monitoring and payment purposes</w:t>
      </w:r>
      <w:r w:rsidR="009A228B" w:rsidRPr="004C4F6D">
        <w:rPr>
          <w:rFonts w:ascii="Arial" w:eastAsia="Arial Narrow" w:hAnsi="Arial" w:cs="Arial"/>
        </w:rPr>
        <w:t>.</w:t>
      </w:r>
    </w:p>
    <w:p w14:paraId="582B10C1" w14:textId="77777777" w:rsidR="00312FC6" w:rsidRPr="004C4F6D" w:rsidRDefault="00312FC6" w:rsidP="004C4F6D">
      <w:pPr>
        <w:tabs>
          <w:tab w:val="left" w:pos="284"/>
          <w:tab w:val="left" w:pos="820"/>
        </w:tabs>
        <w:spacing w:after="0" w:line="240" w:lineRule="auto"/>
        <w:ind w:left="1134" w:hanging="425"/>
        <w:jc w:val="both"/>
        <w:rPr>
          <w:rFonts w:ascii="Arial" w:eastAsia="Arial Narrow" w:hAnsi="Arial" w:cs="Arial"/>
        </w:rPr>
      </w:pPr>
    </w:p>
    <w:p w14:paraId="072E9A87" w14:textId="5DBFC530" w:rsidR="00312FC6" w:rsidRPr="004C4F6D" w:rsidRDefault="003919DE" w:rsidP="004C4F6D">
      <w:pPr>
        <w:numPr>
          <w:ilvl w:val="1"/>
          <w:numId w:val="32"/>
        </w:numPr>
        <w:tabs>
          <w:tab w:val="left" w:pos="284"/>
          <w:tab w:val="left" w:pos="705"/>
          <w:tab w:val="left" w:pos="870"/>
        </w:tabs>
        <w:spacing w:after="0" w:line="240" w:lineRule="auto"/>
        <w:ind w:left="1134" w:hanging="425"/>
        <w:jc w:val="both"/>
        <w:rPr>
          <w:rFonts w:ascii="Arial" w:eastAsia="Arial Narrow" w:hAnsi="Arial" w:cs="Arial"/>
          <w:bCs/>
          <w:iCs/>
          <w:color w:val="000000"/>
        </w:rPr>
      </w:pPr>
      <w:r w:rsidRPr="004C4F6D">
        <w:rPr>
          <w:rFonts w:ascii="Arial" w:eastAsia="Arial Narrow" w:hAnsi="Arial" w:cs="Arial"/>
          <w:bCs/>
          <w:iCs/>
          <w:color w:val="000000"/>
        </w:rPr>
        <w:t xml:space="preserve">Branches’ non-compliance </w:t>
      </w:r>
      <w:r w:rsidR="00D50982" w:rsidRPr="004C4F6D">
        <w:rPr>
          <w:rFonts w:ascii="Arial" w:eastAsia="Arial Narrow" w:hAnsi="Arial" w:cs="Arial"/>
          <w:bCs/>
          <w:iCs/>
          <w:color w:val="000000"/>
        </w:rPr>
        <w:t xml:space="preserve">on sending notices of long outstanding APs to payees </w:t>
      </w:r>
      <w:r w:rsidR="009A228B" w:rsidRPr="004C4F6D">
        <w:rPr>
          <w:rFonts w:ascii="Arial" w:eastAsia="Arial Narrow" w:hAnsi="Arial" w:cs="Arial"/>
          <w:bCs/>
          <w:iCs/>
          <w:color w:val="000000"/>
        </w:rPr>
        <w:t xml:space="preserve">contrary to </w:t>
      </w:r>
      <w:r w:rsidRPr="004C4F6D">
        <w:rPr>
          <w:rFonts w:ascii="Arial" w:eastAsia="Arial Narrow" w:hAnsi="Arial" w:cs="Arial"/>
          <w:bCs/>
          <w:iCs/>
          <w:color w:val="000000"/>
        </w:rPr>
        <w:t xml:space="preserve">Section B.4.b of EO </w:t>
      </w:r>
      <w:r w:rsidR="00047741" w:rsidRPr="004C4F6D">
        <w:rPr>
          <w:rFonts w:ascii="Arial" w:eastAsia="Arial Narrow" w:hAnsi="Arial" w:cs="Arial"/>
          <w:bCs/>
          <w:iCs/>
          <w:color w:val="000000"/>
        </w:rPr>
        <w:t xml:space="preserve">No. </w:t>
      </w:r>
      <w:r w:rsidRPr="004C4F6D">
        <w:rPr>
          <w:rFonts w:ascii="Arial" w:eastAsia="Arial Narrow" w:hAnsi="Arial" w:cs="Arial"/>
          <w:bCs/>
          <w:iCs/>
          <w:color w:val="000000"/>
        </w:rPr>
        <w:t>47</w:t>
      </w:r>
      <w:r w:rsidR="00287042">
        <w:rPr>
          <w:rFonts w:ascii="Arial" w:eastAsia="Arial Narrow" w:hAnsi="Arial" w:cs="Arial"/>
          <w:bCs/>
          <w:iCs/>
          <w:color w:val="000000"/>
        </w:rPr>
        <w:t>.</w:t>
      </w:r>
      <w:r w:rsidRPr="004C4F6D">
        <w:rPr>
          <w:rFonts w:ascii="Arial" w:eastAsia="Arial Narrow" w:hAnsi="Arial" w:cs="Arial"/>
          <w:bCs/>
          <w:iCs/>
          <w:color w:val="000000"/>
        </w:rPr>
        <w:t xml:space="preserve"> </w:t>
      </w:r>
    </w:p>
    <w:p w14:paraId="21EADB6D" w14:textId="77777777" w:rsidR="00312FC6" w:rsidRPr="004C4F6D" w:rsidRDefault="00312FC6" w:rsidP="004C4F6D">
      <w:pPr>
        <w:tabs>
          <w:tab w:val="left" w:pos="284"/>
          <w:tab w:val="left" w:pos="705"/>
          <w:tab w:val="left" w:pos="870"/>
        </w:tabs>
        <w:spacing w:after="0" w:line="240" w:lineRule="auto"/>
        <w:ind w:left="1134" w:right="133" w:hanging="425"/>
        <w:jc w:val="both"/>
        <w:rPr>
          <w:rFonts w:ascii="Arial" w:eastAsia="Arial Narrow" w:hAnsi="Arial" w:cs="Arial"/>
          <w:color w:val="000000"/>
        </w:rPr>
      </w:pPr>
    </w:p>
    <w:p w14:paraId="49F0A8C8" w14:textId="6738959F" w:rsidR="00312FC6" w:rsidRPr="004C4F6D" w:rsidRDefault="003919DE" w:rsidP="004C4F6D">
      <w:pPr>
        <w:tabs>
          <w:tab w:val="left" w:pos="284"/>
          <w:tab w:val="left" w:pos="1985"/>
        </w:tabs>
        <w:spacing w:after="0" w:line="240" w:lineRule="auto"/>
        <w:ind w:left="1134" w:hanging="425"/>
        <w:jc w:val="both"/>
        <w:rPr>
          <w:rFonts w:ascii="Arial" w:eastAsia="Arial Narrow" w:hAnsi="Arial" w:cs="Arial"/>
        </w:rPr>
      </w:pPr>
      <w:r w:rsidRPr="004C4F6D">
        <w:rPr>
          <w:rFonts w:ascii="Arial" w:eastAsia="Arial Narrow" w:hAnsi="Arial" w:cs="Arial"/>
        </w:rPr>
        <w:tab/>
        <w:t>Branches/</w:t>
      </w:r>
      <w:r w:rsidR="00047741" w:rsidRPr="004C4F6D">
        <w:rPr>
          <w:rFonts w:ascii="Arial" w:eastAsia="Arial Narrow" w:hAnsi="Arial" w:cs="Arial"/>
        </w:rPr>
        <w:t xml:space="preserve"> </w:t>
      </w:r>
      <w:r w:rsidR="00D50982" w:rsidRPr="004C4F6D">
        <w:rPr>
          <w:rFonts w:ascii="Arial" w:eastAsia="Arial Narrow" w:hAnsi="Arial" w:cs="Arial"/>
        </w:rPr>
        <w:t>I</w:t>
      </w:r>
      <w:r w:rsidRPr="004C4F6D">
        <w:rPr>
          <w:rFonts w:ascii="Arial" w:eastAsia="Arial Narrow" w:hAnsi="Arial" w:cs="Arial"/>
        </w:rPr>
        <w:t>U</w:t>
      </w:r>
      <w:r w:rsidR="00047741" w:rsidRPr="004C4F6D">
        <w:rPr>
          <w:rFonts w:ascii="Arial" w:eastAsia="Arial Narrow" w:hAnsi="Arial" w:cs="Arial"/>
        </w:rPr>
        <w:t>s</w:t>
      </w:r>
      <w:r w:rsidRPr="004C4F6D">
        <w:rPr>
          <w:rFonts w:ascii="Arial" w:eastAsia="Arial Narrow" w:hAnsi="Arial" w:cs="Arial"/>
        </w:rPr>
        <w:t xml:space="preserve"> </w:t>
      </w:r>
      <w:r w:rsidR="00047741" w:rsidRPr="004C4F6D">
        <w:rPr>
          <w:rFonts w:ascii="Arial" w:eastAsia="Arial Narrow" w:hAnsi="Arial" w:cs="Arial"/>
        </w:rPr>
        <w:t>did not</w:t>
      </w:r>
      <w:r w:rsidRPr="004C4F6D">
        <w:rPr>
          <w:rFonts w:ascii="Arial" w:eastAsia="Arial Narrow" w:hAnsi="Arial" w:cs="Arial"/>
        </w:rPr>
        <w:t xml:space="preserve"> faithfully comply with the preparation and sending of the notices </w:t>
      </w:r>
      <w:r w:rsidR="00047741" w:rsidRPr="004C4F6D">
        <w:rPr>
          <w:rFonts w:ascii="Arial" w:eastAsia="Arial Narrow" w:hAnsi="Arial" w:cs="Arial"/>
        </w:rPr>
        <w:t>of the long outstanding A</w:t>
      </w:r>
      <w:r w:rsidR="00025431" w:rsidRPr="004C4F6D">
        <w:rPr>
          <w:rFonts w:ascii="Arial" w:eastAsia="Arial Narrow" w:hAnsi="Arial" w:cs="Arial"/>
        </w:rPr>
        <w:t>/</w:t>
      </w:r>
      <w:r w:rsidR="00047741" w:rsidRPr="004C4F6D">
        <w:rPr>
          <w:rFonts w:ascii="Arial" w:eastAsia="Arial Narrow" w:hAnsi="Arial" w:cs="Arial"/>
        </w:rPr>
        <w:t xml:space="preserve">Ps to payees </w:t>
      </w:r>
      <w:r w:rsidRPr="004C4F6D">
        <w:rPr>
          <w:rFonts w:ascii="Arial" w:eastAsia="Arial Narrow" w:hAnsi="Arial" w:cs="Arial"/>
        </w:rPr>
        <w:t>that resulted in delays in settling liabilities and accumulation</w:t>
      </w:r>
      <w:r w:rsidR="00025431" w:rsidRPr="004C4F6D">
        <w:rPr>
          <w:rFonts w:ascii="Arial" w:eastAsia="Arial Narrow" w:hAnsi="Arial" w:cs="Arial"/>
        </w:rPr>
        <w:t xml:space="preserve"> of long outstanding liabilities</w:t>
      </w:r>
      <w:r w:rsidRPr="004C4F6D">
        <w:rPr>
          <w:rFonts w:ascii="Arial" w:eastAsia="Arial Narrow" w:hAnsi="Arial" w:cs="Arial"/>
        </w:rPr>
        <w:t>. Additionally, it could impede the implementation of subsequent actions or measures that need to be taken on A/Ps, such as reversals or reclassification to the Miscellaneous Income account, after the prescriptive period has expired reckoning from the date of sending the final notice.</w:t>
      </w:r>
    </w:p>
    <w:p w14:paraId="3087E5BC" w14:textId="77777777" w:rsidR="00312FC6" w:rsidRPr="004C4F6D" w:rsidRDefault="00312FC6" w:rsidP="004C4F6D">
      <w:pPr>
        <w:tabs>
          <w:tab w:val="left" w:pos="284"/>
          <w:tab w:val="left" w:pos="1985"/>
        </w:tabs>
        <w:spacing w:after="0" w:line="240" w:lineRule="auto"/>
        <w:ind w:left="1134" w:hanging="425"/>
        <w:jc w:val="both"/>
        <w:rPr>
          <w:rFonts w:ascii="Arial" w:eastAsia="Arial Narrow" w:hAnsi="Arial" w:cs="Arial"/>
        </w:rPr>
      </w:pPr>
    </w:p>
    <w:p w14:paraId="68853868" w14:textId="02CD53D5" w:rsidR="00312FC6" w:rsidRPr="004C4F6D" w:rsidRDefault="003919DE" w:rsidP="004C4F6D">
      <w:pPr>
        <w:numPr>
          <w:ilvl w:val="1"/>
          <w:numId w:val="32"/>
        </w:numPr>
        <w:tabs>
          <w:tab w:val="left" w:pos="284"/>
          <w:tab w:val="left" w:pos="796"/>
        </w:tabs>
        <w:spacing w:after="0" w:line="240" w:lineRule="auto"/>
        <w:ind w:left="1134" w:hanging="425"/>
        <w:jc w:val="both"/>
        <w:rPr>
          <w:rFonts w:ascii="Arial" w:eastAsia="Arial Narrow" w:hAnsi="Arial" w:cs="Arial"/>
          <w:bCs/>
          <w:iCs/>
          <w:color w:val="000000"/>
        </w:rPr>
      </w:pPr>
      <w:r w:rsidRPr="004C4F6D">
        <w:rPr>
          <w:rFonts w:ascii="Arial" w:eastAsia="Arial Narrow" w:hAnsi="Arial" w:cs="Arial"/>
          <w:bCs/>
          <w:iCs/>
          <w:color w:val="000000"/>
        </w:rPr>
        <w:t>Branches/</w:t>
      </w:r>
      <w:r w:rsidR="00D50982" w:rsidRPr="004C4F6D">
        <w:rPr>
          <w:rFonts w:ascii="Arial" w:eastAsia="Arial Narrow" w:hAnsi="Arial" w:cs="Arial"/>
          <w:bCs/>
          <w:iCs/>
          <w:color w:val="000000"/>
        </w:rPr>
        <w:t xml:space="preserve"> </w:t>
      </w:r>
      <w:r w:rsidRPr="004C4F6D">
        <w:rPr>
          <w:rFonts w:ascii="Arial" w:eastAsia="Arial Narrow" w:hAnsi="Arial" w:cs="Arial"/>
          <w:bCs/>
          <w:iCs/>
          <w:color w:val="000000"/>
        </w:rPr>
        <w:t xml:space="preserve">IU's non-compliance to keep A/P within short periods and to ensure the completeness of supporting documents and other evidence of indebtedness before booking of A/P, contrary to Section D of </w:t>
      </w:r>
      <w:r w:rsidR="00EE59CC" w:rsidRPr="004C4F6D">
        <w:rPr>
          <w:rFonts w:ascii="Arial" w:eastAsia="Arial Narrow" w:hAnsi="Arial" w:cs="Arial"/>
          <w:bCs/>
          <w:iCs/>
          <w:color w:val="000000"/>
        </w:rPr>
        <w:t>EO No. 47</w:t>
      </w:r>
      <w:r w:rsidRPr="004C4F6D">
        <w:rPr>
          <w:rFonts w:ascii="Arial" w:eastAsia="Arial Narrow" w:hAnsi="Arial" w:cs="Arial"/>
          <w:bCs/>
          <w:iCs/>
          <w:color w:val="000000"/>
        </w:rPr>
        <w:t>.</w:t>
      </w:r>
    </w:p>
    <w:p w14:paraId="59D1E930" w14:textId="77777777" w:rsidR="00312FC6" w:rsidRPr="004C4F6D" w:rsidRDefault="00312FC6" w:rsidP="004C4F6D">
      <w:pPr>
        <w:tabs>
          <w:tab w:val="left" w:pos="284"/>
          <w:tab w:val="left" w:pos="796"/>
        </w:tabs>
        <w:spacing w:after="0" w:line="240" w:lineRule="auto"/>
        <w:ind w:left="1134" w:right="133" w:hanging="425"/>
        <w:jc w:val="both"/>
        <w:rPr>
          <w:rFonts w:ascii="Arial" w:eastAsia="Arial Narrow" w:hAnsi="Arial" w:cs="Arial"/>
          <w:color w:val="000000"/>
        </w:rPr>
      </w:pPr>
    </w:p>
    <w:p w14:paraId="64EBB67E" w14:textId="5E54A384" w:rsidR="00312FC6" w:rsidRPr="004C4F6D" w:rsidRDefault="003919DE" w:rsidP="004C4F6D">
      <w:pPr>
        <w:spacing w:after="0" w:line="240" w:lineRule="auto"/>
        <w:ind w:left="1134" w:firstLine="36"/>
        <w:jc w:val="both"/>
        <w:rPr>
          <w:rFonts w:ascii="Arial" w:eastAsia="Arial Narrow" w:hAnsi="Arial" w:cs="Arial"/>
          <w:color w:val="000000"/>
        </w:rPr>
      </w:pPr>
      <w:r w:rsidRPr="004C4F6D">
        <w:rPr>
          <w:rFonts w:ascii="Arial" w:eastAsia="Arial Narrow" w:hAnsi="Arial" w:cs="Arial"/>
          <w:color w:val="000000"/>
        </w:rPr>
        <w:t xml:space="preserve">It is worth noting that EO </w:t>
      </w:r>
      <w:r w:rsidR="00D50982" w:rsidRPr="004C4F6D">
        <w:rPr>
          <w:rFonts w:ascii="Arial" w:eastAsia="Arial Narrow" w:hAnsi="Arial" w:cs="Arial"/>
          <w:color w:val="000000"/>
        </w:rPr>
        <w:t xml:space="preserve">No. </w:t>
      </w:r>
      <w:r w:rsidRPr="004C4F6D">
        <w:rPr>
          <w:rFonts w:ascii="Arial" w:eastAsia="Arial Narrow" w:hAnsi="Arial" w:cs="Arial"/>
          <w:color w:val="000000"/>
        </w:rPr>
        <w:t xml:space="preserve">47 defined A/P as a short-term debt payment incurred in the normal course of business which needs to be paid within a given period to avoid default. A short-term liability is a financial obligation that is to be paid within one year. </w:t>
      </w:r>
      <w:r w:rsidR="00D50982" w:rsidRPr="004C4F6D">
        <w:rPr>
          <w:rFonts w:ascii="Arial" w:eastAsia="Arial Narrow" w:hAnsi="Arial" w:cs="Arial"/>
          <w:color w:val="000000"/>
        </w:rPr>
        <w:t>Thus</w:t>
      </w:r>
      <w:r w:rsidRPr="004C4F6D">
        <w:rPr>
          <w:rFonts w:ascii="Arial" w:eastAsia="Arial Narrow" w:hAnsi="Arial" w:cs="Arial"/>
          <w:color w:val="000000"/>
        </w:rPr>
        <w:t>, the existence of payables for over one (1) to 28 years, totaling P</w:t>
      </w:r>
      <w:r w:rsidRPr="004C4F6D">
        <w:rPr>
          <w:rFonts w:ascii="Arial" w:eastAsia="Arial Narrow" w:hAnsi="Arial" w:cs="Arial"/>
        </w:rPr>
        <w:t xml:space="preserve">143,109,710.51 </w:t>
      </w:r>
      <w:r w:rsidRPr="004C4F6D">
        <w:rPr>
          <w:rFonts w:ascii="Arial" w:eastAsia="Arial Narrow" w:hAnsi="Arial" w:cs="Arial"/>
          <w:color w:val="000000"/>
        </w:rPr>
        <w:t>in the books of various NCR and Regional Branches, contravenes LBP EO No. 047 (Par 1).</w:t>
      </w:r>
    </w:p>
    <w:p w14:paraId="41C4FABB" w14:textId="77777777" w:rsidR="00312FC6" w:rsidRPr="004C4F6D" w:rsidRDefault="00312FC6" w:rsidP="004C4F6D">
      <w:pPr>
        <w:spacing w:after="0" w:line="240" w:lineRule="auto"/>
        <w:ind w:left="630" w:right="133" w:firstLine="540"/>
        <w:jc w:val="both"/>
        <w:rPr>
          <w:rFonts w:ascii="Arial" w:eastAsia="Arial Narrow" w:hAnsi="Arial" w:cs="Arial"/>
          <w:color w:val="000000"/>
        </w:rPr>
      </w:pPr>
    </w:p>
    <w:p w14:paraId="3CD3B48C" w14:textId="6CD01BD9" w:rsidR="00312FC6" w:rsidRDefault="003919DE" w:rsidP="004C4F6D">
      <w:pPr>
        <w:spacing w:after="0" w:line="240" w:lineRule="auto"/>
        <w:ind w:left="1134" w:firstLine="36"/>
        <w:jc w:val="both"/>
        <w:rPr>
          <w:rFonts w:ascii="Arial" w:eastAsia="Arial Narrow" w:hAnsi="Arial" w:cs="Arial"/>
          <w:color w:val="000000"/>
        </w:rPr>
      </w:pPr>
      <w:r w:rsidRPr="004C4F6D">
        <w:rPr>
          <w:rFonts w:ascii="Arial" w:eastAsia="Arial Narrow" w:hAnsi="Arial" w:cs="Arial"/>
          <w:color w:val="000000"/>
        </w:rPr>
        <w:lastRenderedPageBreak/>
        <w:t xml:space="preserve">It was </w:t>
      </w:r>
      <w:r w:rsidR="00AE4F47" w:rsidRPr="004C4F6D">
        <w:rPr>
          <w:rFonts w:ascii="Arial" w:eastAsia="Arial Narrow" w:hAnsi="Arial" w:cs="Arial"/>
          <w:color w:val="000000"/>
        </w:rPr>
        <w:t>also noted</w:t>
      </w:r>
      <w:r w:rsidRPr="004C4F6D">
        <w:rPr>
          <w:rFonts w:ascii="Arial" w:eastAsia="Arial Narrow" w:hAnsi="Arial" w:cs="Arial"/>
          <w:color w:val="000000"/>
        </w:rPr>
        <w:t xml:space="preserve"> that the transactions were not provided with a specific period for </w:t>
      </w:r>
      <w:r w:rsidR="00AE4F47" w:rsidRPr="004C4F6D">
        <w:rPr>
          <w:rFonts w:ascii="Arial" w:eastAsia="Arial Narrow" w:hAnsi="Arial" w:cs="Arial"/>
          <w:color w:val="000000"/>
        </w:rPr>
        <w:t>settlement</w:t>
      </w:r>
      <w:r w:rsidRPr="004C4F6D">
        <w:rPr>
          <w:rFonts w:ascii="Arial" w:eastAsia="Arial Narrow" w:hAnsi="Arial" w:cs="Arial"/>
          <w:color w:val="000000"/>
        </w:rPr>
        <w:t>, which goes against the above definition of A/P that it “</w:t>
      </w:r>
      <w:r w:rsidRPr="004C4F6D">
        <w:rPr>
          <w:rFonts w:ascii="Arial" w:eastAsia="Arial Narrow" w:hAnsi="Arial" w:cs="Arial"/>
          <w:i/>
          <w:color w:val="000000"/>
        </w:rPr>
        <w:t>needs to be paid within a given period”</w:t>
      </w:r>
      <w:r w:rsidRPr="004C4F6D">
        <w:rPr>
          <w:rFonts w:ascii="Arial" w:eastAsia="Arial Narrow" w:hAnsi="Arial" w:cs="Arial"/>
          <w:color w:val="000000"/>
        </w:rPr>
        <w:t>.</w:t>
      </w:r>
    </w:p>
    <w:p w14:paraId="06C93338" w14:textId="77777777" w:rsidR="006E3D1D" w:rsidRPr="004C4F6D" w:rsidRDefault="006E3D1D" w:rsidP="004C4F6D">
      <w:pPr>
        <w:spacing w:after="0" w:line="240" w:lineRule="auto"/>
        <w:ind w:left="1134" w:firstLine="36"/>
        <w:jc w:val="both"/>
        <w:rPr>
          <w:rFonts w:ascii="Arial" w:eastAsia="Arial Narrow" w:hAnsi="Arial" w:cs="Arial"/>
          <w:color w:val="000000"/>
        </w:rPr>
      </w:pPr>
    </w:p>
    <w:p w14:paraId="53319D4A" w14:textId="4B5CB1ED" w:rsidR="00312FC6" w:rsidRPr="004C4F6D" w:rsidRDefault="003919DE" w:rsidP="004C4F6D">
      <w:pPr>
        <w:spacing w:after="0" w:line="240" w:lineRule="auto"/>
        <w:ind w:left="1134" w:firstLine="36"/>
        <w:jc w:val="both"/>
        <w:rPr>
          <w:rFonts w:ascii="Arial" w:eastAsia="Arial Narrow" w:hAnsi="Arial" w:cs="Arial"/>
          <w:color w:val="000000"/>
        </w:rPr>
      </w:pPr>
      <w:r w:rsidRPr="004C4F6D">
        <w:rPr>
          <w:rFonts w:ascii="Arial" w:eastAsia="Arial Narrow" w:hAnsi="Arial" w:cs="Arial"/>
          <w:color w:val="000000"/>
        </w:rPr>
        <w:t>Additionally, the schedules provided did not adhere to the standard description for the recording of accounts payable, making it difficult to accurately identify the nature of each of the account.</w:t>
      </w:r>
    </w:p>
    <w:p w14:paraId="316BFBF9" w14:textId="77777777" w:rsidR="00312FC6" w:rsidRPr="004C4F6D" w:rsidRDefault="00312FC6" w:rsidP="004C4F6D">
      <w:pPr>
        <w:spacing w:after="0" w:line="240" w:lineRule="auto"/>
        <w:ind w:left="1134" w:firstLine="36"/>
        <w:jc w:val="both"/>
        <w:rPr>
          <w:rFonts w:ascii="Arial" w:eastAsia="Arial Narrow" w:hAnsi="Arial" w:cs="Arial"/>
        </w:rPr>
      </w:pPr>
    </w:p>
    <w:p w14:paraId="16AE3C00" w14:textId="7144266D"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 xml:space="preserve">The gaps in the management and oversight of the A/P process, as outlined in Executive Order (EO) No. 47 series of 2021, raise concerns </w:t>
      </w:r>
      <w:r w:rsidR="00624F80" w:rsidRPr="004C4F6D">
        <w:rPr>
          <w:rFonts w:ascii="Arial" w:eastAsia="Arial Narrow" w:hAnsi="Arial" w:cs="Arial"/>
        </w:rPr>
        <w:t>on</w:t>
      </w:r>
      <w:r w:rsidRPr="004C4F6D">
        <w:rPr>
          <w:rFonts w:ascii="Arial" w:eastAsia="Arial Narrow" w:hAnsi="Arial" w:cs="Arial"/>
        </w:rPr>
        <w:t xml:space="preserve"> the validity of the outstanding A/P amounting to P143,109,710.51, which have been unsettled ranging from one (1) to twenty-eight (28) years as of December 31, 2022.</w:t>
      </w:r>
    </w:p>
    <w:p w14:paraId="35409CD9" w14:textId="77777777" w:rsidR="00312FC6" w:rsidRPr="004C4F6D" w:rsidRDefault="00312FC6" w:rsidP="004C4F6D">
      <w:pPr>
        <w:pStyle w:val="ListParagraph"/>
        <w:spacing w:after="0" w:line="240" w:lineRule="auto"/>
        <w:ind w:left="0" w:right="133"/>
        <w:jc w:val="both"/>
        <w:rPr>
          <w:rFonts w:ascii="Arial" w:eastAsia="Arial Narrow" w:hAnsi="Arial" w:cs="Arial"/>
          <w:color w:val="000000"/>
        </w:rPr>
      </w:pPr>
    </w:p>
    <w:p w14:paraId="0ACE0A4D" w14:textId="5E830680"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 xml:space="preserve">Further, inability to settle or return the long outstanding payables in the books of several Branches may lead to client complaints and dissatisfaction, which could potentially </w:t>
      </w:r>
      <w:r w:rsidR="00624F80" w:rsidRPr="004C4F6D">
        <w:rPr>
          <w:rFonts w:ascii="Arial" w:eastAsia="Arial Narrow" w:hAnsi="Arial" w:cs="Arial"/>
          <w:color w:val="000000"/>
        </w:rPr>
        <w:t xml:space="preserve">affect </w:t>
      </w:r>
      <w:r w:rsidRPr="004C4F6D">
        <w:rPr>
          <w:rFonts w:ascii="Arial" w:eastAsia="Arial Narrow" w:hAnsi="Arial" w:cs="Arial"/>
          <w:color w:val="000000"/>
        </w:rPr>
        <w:t>the Bank's reputation in terms of fulfilling its obligations and making payments.</w:t>
      </w:r>
    </w:p>
    <w:p w14:paraId="1D6DDACE" w14:textId="2BE0EC26" w:rsidR="00312FC6" w:rsidRPr="004C4F6D" w:rsidRDefault="00312FC6" w:rsidP="004C4F6D">
      <w:pPr>
        <w:pStyle w:val="ListParagraph"/>
        <w:spacing w:after="0" w:line="240" w:lineRule="auto"/>
        <w:rPr>
          <w:rFonts w:ascii="Arial" w:eastAsia="Arial Narrow" w:hAnsi="Arial" w:cs="Arial"/>
          <w:color w:val="000000"/>
        </w:rPr>
      </w:pPr>
    </w:p>
    <w:p w14:paraId="1A6FD878" w14:textId="639D53B6"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b/>
          <w:color w:val="000000"/>
        </w:rPr>
      </w:pPr>
      <w:r w:rsidRPr="004C4F6D">
        <w:rPr>
          <w:rFonts w:ascii="Arial" w:eastAsia="Arial Narrow" w:hAnsi="Arial" w:cs="Arial"/>
          <w:b/>
          <w:color w:val="000000"/>
        </w:rPr>
        <w:t xml:space="preserve">We recommended </w:t>
      </w:r>
      <w:r w:rsidR="002F3091" w:rsidRPr="004C4F6D">
        <w:rPr>
          <w:rFonts w:ascii="Arial" w:eastAsia="Arial Narrow" w:hAnsi="Arial" w:cs="Arial"/>
          <w:b/>
          <w:color w:val="000000"/>
        </w:rPr>
        <w:t xml:space="preserve">and </w:t>
      </w:r>
      <w:r w:rsidRPr="004C4F6D">
        <w:rPr>
          <w:rFonts w:ascii="Arial" w:eastAsia="Arial Narrow" w:hAnsi="Arial" w:cs="Arial"/>
          <w:b/>
          <w:color w:val="000000"/>
        </w:rPr>
        <w:t>Management</w:t>
      </w:r>
      <w:r w:rsidR="002F3091" w:rsidRPr="004C4F6D">
        <w:rPr>
          <w:rFonts w:ascii="Arial" w:eastAsia="Arial Narrow" w:hAnsi="Arial" w:cs="Arial"/>
          <w:b/>
          <w:color w:val="000000"/>
        </w:rPr>
        <w:t xml:space="preserve"> agreed to</w:t>
      </w:r>
      <w:r w:rsidRPr="004C4F6D">
        <w:rPr>
          <w:rFonts w:ascii="Arial" w:eastAsia="Arial Narrow" w:hAnsi="Arial" w:cs="Arial"/>
          <w:b/>
          <w:color w:val="000000"/>
        </w:rPr>
        <w:t>:</w:t>
      </w:r>
    </w:p>
    <w:p w14:paraId="4FD03FF2" w14:textId="77777777" w:rsidR="00312FC6" w:rsidRPr="004C4F6D" w:rsidRDefault="00312FC6" w:rsidP="004C4F6D">
      <w:pPr>
        <w:pStyle w:val="ListParagraph"/>
        <w:spacing w:after="0" w:line="240" w:lineRule="auto"/>
        <w:ind w:left="0"/>
        <w:jc w:val="both"/>
        <w:rPr>
          <w:rFonts w:ascii="Arial" w:eastAsia="Arial Narrow" w:hAnsi="Arial" w:cs="Arial"/>
          <w:b/>
          <w:color w:val="000000"/>
        </w:rPr>
      </w:pPr>
    </w:p>
    <w:p w14:paraId="03320447" w14:textId="7B03E525" w:rsidR="00312FC6" w:rsidRPr="004C4F6D" w:rsidRDefault="004B031C" w:rsidP="004C4F6D">
      <w:pPr>
        <w:pStyle w:val="ListParagraph"/>
        <w:numPr>
          <w:ilvl w:val="7"/>
          <w:numId w:val="30"/>
        </w:numPr>
        <w:spacing w:after="0" w:line="240" w:lineRule="auto"/>
        <w:ind w:left="720" w:firstLine="0"/>
        <w:jc w:val="both"/>
        <w:rPr>
          <w:rFonts w:ascii="Arial" w:eastAsia="Arial Narrow" w:hAnsi="Arial" w:cs="Arial"/>
          <w:color w:val="000000"/>
          <w:lang w:eastAsia="en-PH"/>
        </w:rPr>
      </w:pPr>
      <w:r w:rsidRPr="004C4F6D">
        <w:rPr>
          <w:rFonts w:ascii="Arial" w:eastAsia="Arial Narrow" w:hAnsi="Arial" w:cs="Arial"/>
          <w:b/>
          <w:color w:val="000000"/>
          <w:lang w:eastAsia="en-PH"/>
        </w:rPr>
        <w:t>R</w:t>
      </w:r>
      <w:r w:rsidR="003919DE" w:rsidRPr="004C4F6D">
        <w:rPr>
          <w:rFonts w:ascii="Arial" w:eastAsia="Arial Narrow" w:hAnsi="Arial" w:cs="Arial"/>
          <w:b/>
          <w:color w:val="000000"/>
          <w:lang w:eastAsia="en-PH"/>
        </w:rPr>
        <w:t xml:space="preserve">eview and establish validity of the A/P and make the necessary reversals/settlements, in accordance with existing rules and procedures, of those that that have been found no longer valid or whose validity can no longer be established; </w:t>
      </w:r>
    </w:p>
    <w:p w14:paraId="30DAD7B5" w14:textId="77777777" w:rsidR="00312FC6" w:rsidRPr="004C4F6D" w:rsidRDefault="00312FC6" w:rsidP="004C4F6D">
      <w:pPr>
        <w:pStyle w:val="ListParagraph"/>
        <w:spacing w:after="0" w:line="240" w:lineRule="auto"/>
        <w:ind w:right="197"/>
        <w:jc w:val="both"/>
        <w:rPr>
          <w:rFonts w:ascii="Arial" w:eastAsia="Arial Narrow" w:hAnsi="Arial" w:cs="Arial"/>
          <w:color w:val="000000"/>
          <w:lang w:eastAsia="en-PH"/>
        </w:rPr>
      </w:pPr>
    </w:p>
    <w:p w14:paraId="56921245" w14:textId="294D4371" w:rsidR="00312FC6" w:rsidRPr="004C4F6D" w:rsidRDefault="00D00481" w:rsidP="004C4F6D">
      <w:pPr>
        <w:pStyle w:val="ListParagraph"/>
        <w:numPr>
          <w:ilvl w:val="7"/>
          <w:numId w:val="30"/>
        </w:numPr>
        <w:spacing w:after="0" w:line="240" w:lineRule="auto"/>
        <w:ind w:left="720" w:firstLine="0"/>
        <w:jc w:val="both"/>
        <w:rPr>
          <w:rFonts w:ascii="Arial" w:eastAsia="Arial Narrow" w:hAnsi="Arial" w:cs="Arial"/>
          <w:color w:val="000000"/>
          <w:lang w:eastAsia="en-PH"/>
        </w:rPr>
      </w:pPr>
      <w:r w:rsidRPr="004C4F6D">
        <w:rPr>
          <w:rFonts w:ascii="Arial" w:eastAsia="Arial Narrow" w:hAnsi="Arial" w:cs="Arial"/>
          <w:b/>
          <w:color w:val="000000"/>
          <w:lang w:eastAsia="en-PH"/>
        </w:rPr>
        <w:t>U</w:t>
      </w:r>
      <w:r w:rsidR="003919DE" w:rsidRPr="004C4F6D">
        <w:rPr>
          <w:rFonts w:ascii="Arial" w:eastAsia="Arial Narrow" w:hAnsi="Arial" w:cs="Arial"/>
          <w:b/>
          <w:color w:val="000000"/>
          <w:lang w:eastAsia="en-PH"/>
        </w:rPr>
        <w:t>tilize the Monthly/ Quarterly / Semi-Annual Aging Report of A/P provided by the ACs to monitor liabilities</w:t>
      </w:r>
      <w:r w:rsidRPr="004C4F6D">
        <w:rPr>
          <w:rFonts w:ascii="Arial" w:eastAsia="Arial Narrow" w:hAnsi="Arial" w:cs="Arial"/>
          <w:b/>
          <w:color w:val="000000"/>
          <w:lang w:eastAsia="en-PH"/>
        </w:rPr>
        <w:t xml:space="preserve">, and promptly </w:t>
      </w:r>
      <w:r w:rsidR="003919DE" w:rsidRPr="004C4F6D">
        <w:rPr>
          <w:rFonts w:ascii="Arial" w:eastAsia="Arial Narrow" w:hAnsi="Arial" w:cs="Arial"/>
          <w:b/>
          <w:color w:val="000000"/>
          <w:lang w:eastAsia="en-PH"/>
        </w:rPr>
        <w:t>send notices</w:t>
      </w:r>
      <w:r w:rsidRPr="004C4F6D">
        <w:rPr>
          <w:rFonts w:ascii="Arial" w:eastAsia="Arial Narrow" w:hAnsi="Arial" w:cs="Arial"/>
          <w:b/>
          <w:color w:val="000000"/>
          <w:lang w:eastAsia="en-PH"/>
        </w:rPr>
        <w:t xml:space="preserve"> of outstanding AP to payees. </w:t>
      </w:r>
      <w:r w:rsidR="003919DE" w:rsidRPr="004C4F6D">
        <w:rPr>
          <w:rFonts w:ascii="Arial" w:eastAsia="Arial Narrow" w:hAnsi="Arial" w:cs="Arial"/>
          <w:b/>
          <w:color w:val="000000"/>
          <w:lang w:eastAsia="en-PH"/>
        </w:rPr>
        <w:t xml:space="preserve"> </w:t>
      </w:r>
      <w:r w:rsidRPr="004C4F6D">
        <w:rPr>
          <w:rFonts w:ascii="Arial" w:eastAsia="Arial Narrow" w:hAnsi="Arial" w:cs="Arial"/>
          <w:b/>
          <w:color w:val="000000"/>
          <w:lang w:eastAsia="en-PH"/>
        </w:rPr>
        <w:t>T</w:t>
      </w:r>
      <w:r w:rsidR="003919DE" w:rsidRPr="004C4F6D">
        <w:rPr>
          <w:rFonts w:ascii="Arial" w:eastAsia="Arial Narrow" w:hAnsi="Arial" w:cs="Arial"/>
          <w:b/>
          <w:color w:val="000000"/>
          <w:lang w:eastAsia="en-PH"/>
        </w:rPr>
        <w:t>he ACs to consistently provide timely reports to Branches/IUs for same purpose</w:t>
      </w:r>
      <w:r w:rsidRPr="004C4F6D">
        <w:rPr>
          <w:rFonts w:ascii="Arial" w:eastAsia="Arial Narrow" w:hAnsi="Arial" w:cs="Arial"/>
          <w:b/>
          <w:color w:val="000000"/>
          <w:lang w:eastAsia="en-PH"/>
        </w:rPr>
        <w:t>s</w:t>
      </w:r>
      <w:r w:rsidR="003919DE" w:rsidRPr="004C4F6D">
        <w:rPr>
          <w:rFonts w:ascii="Arial" w:eastAsia="Arial Narrow" w:hAnsi="Arial" w:cs="Arial"/>
          <w:b/>
          <w:color w:val="000000"/>
          <w:lang w:eastAsia="en-PH"/>
        </w:rPr>
        <w:t>;</w:t>
      </w:r>
      <w:r w:rsidR="0042017A" w:rsidRPr="004C4F6D">
        <w:rPr>
          <w:rFonts w:ascii="Arial" w:eastAsia="Arial Narrow" w:hAnsi="Arial" w:cs="Arial"/>
          <w:b/>
          <w:color w:val="000000"/>
          <w:lang w:eastAsia="en-PH"/>
        </w:rPr>
        <w:t xml:space="preserve"> and</w:t>
      </w:r>
    </w:p>
    <w:p w14:paraId="3CD3D7E7" w14:textId="77777777" w:rsidR="00312FC6" w:rsidRPr="004C4F6D" w:rsidRDefault="00312FC6" w:rsidP="004C4F6D">
      <w:pPr>
        <w:spacing w:after="0" w:line="240" w:lineRule="auto"/>
        <w:ind w:right="197"/>
        <w:jc w:val="both"/>
        <w:rPr>
          <w:rFonts w:ascii="Arial" w:eastAsia="Arial Narrow" w:hAnsi="Arial" w:cs="Arial"/>
          <w:color w:val="000000"/>
          <w:lang w:eastAsia="en-PH"/>
        </w:rPr>
      </w:pPr>
    </w:p>
    <w:p w14:paraId="260E95E8" w14:textId="4C6F5CE2" w:rsidR="00312FC6" w:rsidRPr="004C4F6D" w:rsidRDefault="0042017A" w:rsidP="004C4F6D">
      <w:pPr>
        <w:pStyle w:val="ListParagraph"/>
        <w:numPr>
          <w:ilvl w:val="7"/>
          <w:numId w:val="30"/>
        </w:numPr>
        <w:spacing w:after="0" w:line="240" w:lineRule="auto"/>
        <w:ind w:left="720" w:firstLine="0"/>
        <w:jc w:val="both"/>
        <w:rPr>
          <w:rFonts w:ascii="Arial" w:eastAsia="Arial Narrow" w:hAnsi="Arial" w:cs="Arial"/>
          <w:color w:val="000000"/>
          <w:lang w:eastAsia="en-PH"/>
        </w:rPr>
      </w:pPr>
      <w:r w:rsidRPr="004C4F6D">
        <w:rPr>
          <w:rFonts w:ascii="Arial" w:eastAsia="Arial Narrow" w:hAnsi="Arial" w:cs="Arial"/>
          <w:b/>
          <w:color w:val="000000"/>
          <w:lang w:eastAsia="en-PH"/>
        </w:rPr>
        <w:t>V</w:t>
      </w:r>
      <w:r w:rsidR="003919DE" w:rsidRPr="004C4F6D">
        <w:rPr>
          <w:rFonts w:ascii="Arial" w:eastAsia="Arial Narrow" w:hAnsi="Arial" w:cs="Arial"/>
          <w:b/>
          <w:color w:val="000000"/>
          <w:lang w:eastAsia="en-PH"/>
        </w:rPr>
        <w:t xml:space="preserve">erify </w:t>
      </w:r>
      <w:r w:rsidRPr="004C4F6D">
        <w:rPr>
          <w:rFonts w:ascii="Arial" w:eastAsia="Arial Narrow" w:hAnsi="Arial" w:cs="Arial"/>
          <w:b/>
          <w:color w:val="000000"/>
          <w:lang w:eastAsia="en-PH"/>
        </w:rPr>
        <w:t xml:space="preserve">the completeness of </w:t>
      </w:r>
      <w:r w:rsidR="003919DE" w:rsidRPr="004C4F6D">
        <w:rPr>
          <w:rFonts w:ascii="Arial" w:eastAsia="Arial Narrow" w:hAnsi="Arial" w:cs="Arial"/>
          <w:b/>
          <w:color w:val="000000"/>
          <w:lang w:eastAsia="en-PH"/>
        </w:rPr>
        <w:t xml:space="preserve">supporting documents before booking A/P </w:t>
      </w:r>
      <w:r w:rsidRPr="004C4F6D">
        <w:rPr>
          <w:rFonts w:ascii="Arial" w:eastAsia="Arial Narrow" w:hAnsi="Arial" w:cs="Arial"/>
          <w:b/>
          <w:color w:val="000000"/>
          <w:lang w:eastAsia="en-PH"/>
        </w:rPr>
        <w:t xml:space="preserve">pursuant to </w:t>
      </w:r>
      <w:r w:rsidR="003919DE" w:rsidRPr="004C4F6D">
        <w:rPr>
          <w:rFonts w:ascii="Arial" w:eastAsia="Arial Narrow" w:hAnsi="Arial" w:cs="Arial"/>
          <w:b/>
          <w:color w:val="000000"/>
          <w:lang w:eastAsia="en-PH"/>
        </w:rPr>
        <w:t xml:space="preserve">the standard description outlined in Annex B of EO </w:t>
      </w:r>
      <w:r w:rsidRPr="004C4F6D">
        <w:rPr>
          <w:rFonts w:ascii="Arial" w:eastAsia="Arial Narrow" w:hAnsi="Arial" w:cs="Arial"/>
          <w:b/>
          <w:color w:val="000000"/>
          <w:lang w:eastAsia="en-PH"/>
        </w:rPr>
        <w:t xml:space="preserve">No. </w:t>
      </w:r>
      <w:r w:rsidR="003919DE" w:rsidRPr="004C4F6D">
        <w:rPr>
          <w:rFonts w:ascii="Arial" w:eastAsia="Arial Narrow" w:hAnsi="Arial" w:cs="Arial"/>
          <w:b/>
          <w:color w:val="000000"/>
          <w:lang w:eastAsia="en-PH"/>
        </w:rPr>
        <w:t>47</w:t>
      </w:r>
      <w:r w:rsidRPr="004C4F6D">
        <w:rPr>
          <w:rFonts w:ascii="Arial" w:eastAsia="Arial Narrow" w:hAnsi="Arial" w:cs="Arial"/>
          <w:b/>
          <w:color w:val="000000"/>
          <w:lang w:eastAsia="en-PH"/>
        </w:rPr>
        <w:t>,</w:t>
      </w:r>
      <w:r w:rsidR="003919DE" w:rsidRPr="004C4F6D">
        <w:rPr>
          <w:rFonts w:ascii="Arial" w:eastAsia="Arial Narrow" w:hAnsi="Arial" w:cs="Arial"/>
          <w:b/>
          <w:color w:val="000000"/>
          <w:lang w:eastAsia="en-PH"/>
        </w:rPr>
        <w:t xml:space="preserve"> </w:t>
      </w:r>
      <w:r w:rsidRPr="004C4F6D">
        <w:rPr>
          <w:rFonts w:ascii="Arial" w:eastAsia="Arial Narrow" w:hAnsi="Arial" w:cs="Arial"/>
          <w:b/>
          <w:color w:val="000000"/>
          <w:lang w:eastAsia="en-PH"/>
        </w:rPr>
        <w:t>including the</w:t>
      </w:r>
      <w:r w:rsidR="003919DE" w:rsidRPr="004C4F6D">
        <w:rPr>
          <w:rFonts w:ascii="Arial" w:eastAsia="Arial Narrow" w:hAnsi="Arial" w:cs="Arial"/>
          <w:b/>
          <w:color w:val="000000"/>
          <w:lang w:eastAsia="en-PH"/>
        </w:rPr>
        <w:t xml:space="preserve"> recorded</w:t>
      </w:r>
      <w:r w:rsidRPr="004C4F6D">
        <w:rPr>
          <w:rFonts w:ascii="Arial" w:eastAsia="Arial Narrow" w:hAnsi="Arial" w:cs="Arial"/>
          <w:b/>
          <w:color w:val="000000"/>
          <w:lang w:eastAsia="en-PH"/>
        </w:rPr>
        <w:t xml:space="preserve"> A/P</w:t>
      </w:r>
      <w:r w:rsidR="003919DE" w:rsidRPr="004C4F6D">
        <w:rPr>
          <w:rFonts w:ascii="Arial" w:eastAsia="Arial Narrow" w:hAnsi="Arial" w:cs="Arial"/>
          <w:b/>
          <w:color w:val="000000"/>
          <w:lang w:eastAsia="en-PH"/>
        </w:rPr>
        <w:t>, and organize all documents relat</w:t>
      </w:r>
      <w:r w:rsidRPr="004C4F6D">
        <w:rPr>
          <w:rFonts w:ascii="Arial" w:eastAsia="Arial Narrow" w:hAnsi="Arial" w:cs="Arial"/>
          <w:b/>
          <w:color w:val="000000"/>
          <w:lang w:eastAsia="en-PH"/>
        </w:rPr>
        <w:t>ing</w:t>
      </w:r>
      <w:r w:rsidR="003919DE" w:rsidRPr="004C4F6D">
        <w:rPr>
          <w:rFonts w:ascii="Arial" w:eastAsia="Arial Narrow" w:hAnsi="Arial" w:cs="Arial"/>
          <w:b/>
          <w:color w:val="000000"/>
          <w:lang w:eastAsia="en-PH"/>
        </w:rPr>
        <w:t xml:space="preserve"> to the booking of A/P to ensure proper reference and basis for disposition.</w:t>
      </w:r>
    </w:p>
    <w:p w14:paraId="1899A8B8" w14:textId="77777777" w:rsidR="00312FC6" w:rsidRPr="004C4F6D" w:rsidRDefault="00312FC6" w:rsidP="004C4F6D">
      <w:pPr>
        <w:pStyle w:val="ListParagraph"/>
        <w:spacing w:after="0" w:line="240" w:lineRule="auto"/>
        <w:ind w:left="0"/>
        <w:jc w:val="both"/>
        <w:rPr>
          <w:rFonts w:ascii="Arial" w:eastAsia="Arial Narrow" w:hAnsi="Arial" w:cs="Arial"/>
          <w:color w:val="000000"/>
          <w:lang w:eastAsia="en-PH"/>
        </w:rPr>
      </w:pPr>
    </w:p>
    <w:p w14:paraId="0EE98295" w14:textId="6C6A6857" w:rsidR="00312FC6" w:rsidRPr="004C4F6D" w:rsidRDefault="00521F73" w:rsidP="004C4F6D">
      <w:pPr>
        <w:pStyle w:val="ListParagraph"/>
        <w:numPr>
          <w:ilvl w:val="1"/>
          <w:numId w:val="42"/>
        </w:numPr>
        <w:spacing w:after="0" w:line="240" w:lineRule="auto"/>
        <w:ind w:left="0" w:firstLine="0"/>
        <w:jc w:val="both"/>
        <w:rPr>
          <w:rFonts w:ascii="Arial" w:eastAsia="Arial Narrow" w:hAnsi="Arial" w:cs="Arial"/>
          <w:b/>
          <w:color w:val="000000"/>
          <w:lang w:eastAsia="en-PH"/>
        </w:rPr>
      </w:pPr>
      <w:r w:rsidRPr="004C4F6D">
        <w:rPr>
          <w:rFonts w:ascii="Arial" w:eastAsia="Arial Narrow" w:hAnsi="Arial" w:cs="Arial"/>
          <w:color w:val="000000"/>
          <w:lang w:eastAsia="en-PH"/>
        </w:rPr>
        <w:t xml:space="preserve">Management </w:t>
      </w:r>
      <w:r w:rsidR="00A43E06" w:rsidRPr="004C4F6D">
        <w:rPr>
          <w:rFonts w:ascii="Arial" w:eastAsia="Arial Narrow" w:hAnsi="Arial" w:cs="Arial"/>
          <w:color w:val="000000"/>
          <w:lang w:eastAsia="en-PH"/>
        </w:rPr>
        <w:t>necessary actions are being undertaken to implement the recommendations.</w:t>
      </w:r>
    </w:p>
    <w:p w14:paraId="2F4344AE" w14:textId="77777777" w:rsidR="00312FC6" w:rsidRPr="004C4F6D" w:rsidRDefault="00312FC6" w:rsidP="004C4F6D">
      <w:pPr>
        <w:pStyle w:val="ListParagraph"/>
        <w:spacing w:after="0" w:line="240" w:lineRule="auto"/>
        <w:ind w:left="0"/>
        <w:jc w:val="both"/>
        <w:rPr>
          <w:rFonts w:ascii="Arial" w:eastAsia="Arial Narrow" w:hAnsi="Arial" w:cs="Arial"/>
          <w:b/>
          <w:color w:val="000000"/>
          <w:lang w:eastAsia="en-PH"/>
        </w:rPr>
      </w:pPr>
    </w:p>
    <w:p w14:paraId="388793D1" w14:textId="77777777" w:rsidR="00A21939" w:rsidRPr="004C4F6D" w:rsidRDefault="00A21939" w:rsidP="004C4F6D">
      <w:pPr>
        <w:pStyle w:val="ListParagraph"/>
        <w:spacing w:after="0" w:line="240" w:lineRule="auto"/>
        <w:ind w:left="0"/>
        <w:jc w:val="both"/>
        <w:rPr>
          <w:rFonts w:ascii="Arial" w:eastAsia="Arial Narrow" w:hAnsi="Arial" w:cs="Arial"/>
          <w:b/>
          <w:color w:val="000000"/>
          <w:lang w:eastAsia="en-PH"/>
        </w:rPr>
      </w:pPr>
    </w:p>
    <w:p w14:paraId="3BFE7417" w14:textId="3B1613B8" w:rsidR="00312FC6" w:rsidRPr="004C4F6D" w:rsidRDefault="003919DE" w:rsidP="004C4F6D">
      <w:pPr>
        <w:numPr>
          <w:ilvl w:val="0"/>
          <w:numId w:val="35"/>
        </w:numPr>
        <w:spacing w:after="0" w:line="240" w:lineRule="auto"/>
        <w:ind w:left="0" w:firstLine="0"/>
        <w:jc w:val="both"/>
        <w:rPr>
          <w:rFonts w:ascii="Arial" w:eastAsia="Arial Narrow" w:hAnsi="Arial" w:cs="Arial"/>
          <w:b/>
          <w:color w:val="000000" w:themeColor="text1"/>
        </w:rPr>
      </w:pPr>
      <w:r w:rsidRPr="004C4F6D">
        <w:rPr>
          <w:rFonts w:ascii="Arial" w:eastAsia="Arial Narrow" w:hAnsi="Arial" w:cs="Arial"/>
          <w:b/>
        </w:rPr>
        <w:t>ATM</w:t>
      </w:r>
      <w:r w:rsidRPr="004C4F6D">
        <w:rPr>
          <w:rFonts w:ascii="Arial" w:eastAsia="Arial Narrow" w:hAnsi="Arial" w:cs="Arial"/>
          <w:b/>
          <w:color w:val="000000" w:themeColor="text1"/>
        </w:rPr>
        <w:t xml:space="preserve"> overages and shortages of P81,862,175.25 and P42,762,516.32, respectively, were unresolved/unaccounted for more than 3 days to over 360 days as at December 31, 2022 due to: a) the RARS’ frequent inability to automate retrieval of ATM files and </w:t>
      </w:r>
      <w:r w:rsidR="000C4A7E" w:rsidRPr="004C4F6D">
        <w:rPr>
          <w:rFonts w:ascii="Arial" w:eastAsia="Arial Narrow" w:hAnsi="Arial" w:cs="Arial"/>
          <w:b/>
          <w:color w:val="000000" w:themeColor="text1"/>
        </w:rPr>
        <w:t xml:space="preserve">the </w:t>
      </w:r>
      <w:r w:rsidR="006460E1" w:rsidRPr="004C4F6D">
        <w:rPr>
          <w:rFonts w:ascii="Arial" w:eastAsia="Arial Narrow" w:hAnsi="Arial" w:cs="Arial"/>
          <w:b/>
          <w:color w:val="000000" w:themeColor="text1"/>
        </w:rPr>
        <w:t>prescribed contingency</w:t>
      </w:r>
      <w:r w:rsidRPr="004C4F6D">
        <w:rPr>
          <w:rFonts w:ascii="Arial" w:eastAsia="Arial Narrow" w:hAnsi="Arial" w:cs="Arial"/>
          <w:b/>
          <w:color w:val="000000" w:themeColor="text1"/>
        </w:rPr>
        <w:t xml:space="preserve"> procedures in case of system failure</w:t>
      </w:r>
      <w:r w:rsidR="009A2E2B" w:rsidRPr="004C4F6D">
        <w:rPr>
          <w:rFonts w:ascii="Arial" w:eastAsia="Arial Narrow" w:hAnsi="Arial" w:cs="Arial"/>
          <w:b/>
          <w:color w:val="000000" w:themeColor="text1"/>
        </w:rPr>
        <w:t xml:space="preserve"> not </w:t>
      </w:r>
      <w:r w:rsidR="000C4A7E" w:rsidRPr="004C4F6D">
        <w:rPr>
          <w:rFonts w:ascii="Arial" w:eastAsia="Arial Narrow" w:hAnsi="Arial" w:cs="Arial"/>
          <w:b/>
          <w:color w:val="000000" w:themeColor="text1"/>
        </w:rPr>
        <w:t>employed</w:t>
      </w:r>
      <w:r w:rsidRPr="004C4F6D">
        <w:rPr>
          <w:rFonts w:ascii="Arial" w:eastAsia="Arial Narrow" w:hAnsi="Arial" w:cs="Arial"/>
          <w:b/>
          <w:color w:val="000000" w:themeColor="text1"/>
        </w:rPr>
        <w:t>; and b) the procedures on resolving overages and shortages</w:t>
      </w:r>
      <w:r w:rsidR="000C4A7E" w:rsidRPr="004C4F6D">
        <w:rPr>
          <w:rFonts w:ascii="Arial" w:eastAsia="Arial Narrow" w:hAnsi="Arial" w:cs="Arial"/>
          <w:b/>
          <w:color w:val="000000" w:themeColor="text1"/>
        </w:rPr>
        <w:t xml:space="preserve"> not complied</w:t>
      </w:r>
      <w:r w:rsidRPr="004C4F6D">
        <w:rPr>
          <w:rFonts w:ascii="Arial" w:eastAsia="Arial Narrow" w:hAnsi="Arial" w:cs="Arial"/>
          <w:b/>
          <w:color w:val="000000" w:themeColor="text1"/>
        </w:rPr>
        <w:t>, contrary to LBP Executive Order Nos</w:t>
      </w:r>
      <w:r w:rsidR="00543DD2" w:rsidRPr="004C4F6D">
        <w:rPr>
          <w:rFonts w:ascii="Arial" w:eastAsia="Arial Narrow" w:hAnsi="Arial" w:cs="Arial"/>
          <w:b/>
          <w:color w:val="000000" w:themeColor="text1"/>
        </w:rPr>
        <w:t>.</w:t>
      </w:r>
      <w:r w:rsidRPr="004C4F6D">
        <w:rPr>
          <w:rFonts w:ascii="Arial" w:eastAsia="Arial Narrow" w:hAnsi="Arial" w:cs="Arial"/>
          <w:b/>
          <w:color w:val="000000" w:themeColor="text1"/>
        </w:rPr>
        <w:t xml:space="preserve"> 37 and 58, on implementation of RARS and LARS, respectively.</w:t>
      </w:r>
    </w:p>
    <w:p w14:paraId="283603DD" w14:textId="58C29279" w:rsidR="0022156C" w:rsidRPr="004C4F6D" w:rsidRDefault="0022156C" w:rsidP="004C4F6D">
      <w:pPr>
        <w:pStyle w:val="ListParagraph"/>
        <w:spacing w:after="0" w:line="240" w:lineRule="auto"/>
        <w:ind w:left="0"/>
        <w:jc w:val="both"/>
        <w:rPr>
          <w:rFonts w:ascii="Arial" w:eastAsia="Times New Roman" w:hAnsi="Arial" w:cs="Arial"/>
          <w:color w:val="000000"/>
          <w:lang w:eastAsia="en-PH"/>
        </w:rPr>
      </w:pPr>
    </w:p>
    <w:p w14:paraId="5E44B95E" w14:textId="77777777" w:rsidR="00312FC6" w:rsidRPr="004C4F6D" w:rsidRDefault="00312FC6" w:rsidP="004C4F6D">
      <w:pPr>
        <w:pStyle w:val="ListParagraph"/>
        <w:numPr>
          <w:ilvl w:val="0"/>
          <w:numId w:val="42"/>
        </w:numPr>
        <w:spacing w:after="0" w:line="240" w:lineRule="auto"/>
        <w:jc w:val="both"/>
        <w:rPr>
          <w:rFonts w:ascii="Arial" w:eastAsia="Arial Narrow" w:hAnsi="Arial" w:cs="Arial"/>
          <w:vanish/>
          <w:color w:val="000000"/>
          <w:lang w:eastAsia="en-PH"/>
        </w:rPr>
      </w:pPr>
    </w:p>
    <w:p w14:paraId="0D883CAB" w14:textId="5640C4DD"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b/>
          <w:color w:val="000000"/>
          <w:lang w:eastAsia="en-PH"/>
        </w:rPr>
      </w:pPr>
      <w:r w:rsidRPr="004C4F6D">
        <w:rPr>
          <w:rFonts w:ascii="Arial" w:eastAsia="Arial Narrow" w:hAnsi="Arial" w:cs="Arial"/>
          <w:color w:val="000000"/>
          <w:lang w:eastAsia="en-PH"/>
        </w:rPr>
        <w:t>Remote Automated Teller Machine (ATM) Reading System (RARs) is a software facility that enables the automatic retrieval/pull of Electronic Journal (EJ) File and Terminal Readings (TR) from the ATM and sends it to the Remote ATM reading server for uploading to Integrated Documents and Reports Archival and Retrieval System (IDRARS</w:t>
      </w:r>
      <w:r w:rsidR="00844CDB">
        <w:rPr>
          <w:rFonts w:ascii="Arial" w:eastAsia="Arial Narrow" w:hAnsi="Arial" w:cs="Arial"/>
          <w:color w:val="000000"/>
          <w:lang w:eastAsia="en-PH"/>
        </w:rPr>
        <w:t>)</w:t>
      </w:r>
      <w:r w:rsidRPr="004C4F6D">
        <w:rPr>
          <w:rFonts w:ascii="Arial" w:eastAsia="Arial Narrow" w:hAnsi="Arial" w:cs="Arial"/>
          <w:color w:val="000000"/>
          <w:lang w:eastAsia="en-PH"/>
        </w:rPr>
        <w:t xml:space="preserve">, now </w:t>
      </w:r>
      <w:r w:rsidRPr="004C4F6D">
        <w:rPr>
          <w:rFonts w:ascii="Arial" w:eastAsia="Arial Narrow" w:hAnsi="Arial" w:cs="Arial"/>
          <w:color w:val="000000"/>
          <w:lang w:eastAsia="en-PH"/>
        </w:rPr>
        <w:lastRenderedPageBreak/>
        <w:t xml:space="preserve">LARS).  The LANDBANK Automated Teller Machine Reconciliation System (LARS) was employed </w:t>
      </w:r>
      <w:r w:rsidR="00543DD2" w:rsidRPr="004C4F6D">
        <w:rPr>
          <w:rFonts w:ascii="Arial" w:eastAsia="Arial Narrow" w:hAnsi="Arial" w:cs="Arial"/>
          <w:color w:val="000000"/>
          <w:lang w:eastAsia="en-PH"/>
        </w:rPr>
        <w:t>because</w:t>
      </w:r>
      <w:r w:rsidRPr="004C4F6D">
        <w:rPr>
          <w:rFonts w:ascii="Arial" w:eastAsia="Arial Narrow" w:hAnsi="Arial" w:cs="Arial"/>
          <w:color w:val="000000"/>
          <w:lang w:eastAsia="en-PH"/>
        </w:rPr>
        <w:t xml:space="preserve"> of the upgrading and enhancements of the L</w:t>
      </w:r>
      <w:r w:rsidR="00543DD2" w:rsidRPr="004C4F6D">
        <w:rPr>
          <w:rFonts w:ascii="Arial" w:eastAsia="Arial Narrow" w:hAnsi="Arial" w:cs="Arial"/>
          <w:color w:val="000000"/>
          <w:lang w:eastAsia="en-PH"/>
        </w:rPr>
        <w:t>ANDBANK</w:t>
      </w:r>
      <w:r w:rsidRPr="004C4F6D">
        <w:rPr>
          <w:rFonts w:ascii="Arial" w:eastAsia="Arial Narrow" w:hAnsi="Arial" w:cs="Arial"/>
          <w:color w:val="000000"/>
          <w:lang w:eastAsia="en-PH"/>
        </w:rPr>
        <w:t xml:space="preserve"> ATM Hosts. </w:t>
      </w:r>
    </w:p>
    <w:p w14:paraId="3E8C26B7" w14:textId="77777777" w:rsidR="00312FC6" w:rsidRPr="004C4F6D" w:rsidRDefault="00312FC6" w:rsidP="004C4F6D">
      <w:pPr>
        <w:pStyle w:val="ListParagraph"/>
        <w:spacing w:after="0" w:line="240" w:lineRule="auto"/>
        <w:ind w:left="0"/>
        <w:jc w:val="both"/>
        <w:rPr>
          <w:rFonts w:ascii="Arial" w:eastAsia="Arial Narrow" w:hAnsi="Arial" w:cs="Arial"/>
          <w:b/>
          <w:color w:val="000000"/>
          <w:lang w:eastAsia="en-PH"/>
        </w:rPr>
      </w:pPr>
    </w:p>
    <w:p w14:paraId="21B615F8" w14:textId="3AF660D8"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b/>
          <w:color w:val="000000"/>
          <w:lang w:eastAsia="en-PH"/>
        </w:rPr>
      </w:pPr>
      <w:r w:rsidRPr="004C4F6D">
        <w:rPr>
          <w:rFonts w:ascii="Arial" w:eastAsia="Arial Narrow" w:hAnsi="Arial" w:cs="Arial"/>
          <w:color w:val="000000"/>
          <w:lang w:eastAsia="en-PH"/>
        </w:rPr>
        <w:t>LBP EO No. 37, dated May 10, 2013, Implementing Guidelines on the Remote Automated Teller Machine (ATM) Reading System (RARS),</w:t>
      </w:r>
      <w:r w:rsidRPr="004C4F6D">
        <w:rPr>
          <w:rFonts w:ascii="Arial" w:eastAsia="Arial Narrow" w:hAnsi="Arial" w:cs="Arial"/>
          <w:i/>
          <w:color w:val="000000"/>
          <w:lang w:eastAsia="en-PH"/>
        </w:rPr>
        <w:t xml:space="preserve"> </w:t>
      </w:r>
      <w:r w:rsidRPr="004C4F6D">
        <w:rPr>
          <w:rFonts w:ascii="Arial" w:eastAsia="Arial Narrow" w:hAnsi="Arial" w:cs="Arial"/>
          <w:color w:val="000000"/>
          <w:lang w:eastAsia="en-PH"/>
        </w:rPr>
        <w:t>states the objectives of the RARs:</w:t>
      </w:r>
    </w:p>
    <w:p w14:paraId="61759C9D" w14:textId="77777777" w:rsidR="00312FC6" w:rsidRPr="004C4F6D" w:rsidRDefault="00312FC6" w:rsidP="004C4F6D">
      <w:pPr>
        <w:pStyle w:val="ListParagraph"/>
        <w:spacing w:after="0" w:line="240" w:lineRule="auto"/>
        <w:ind w:left="1134" w:hanging="425"/>
        <w:jc w:val="both"/>
        <w:rPr>
          <w:rFonts w:ascii="Arial" w:eastAsia="Arial Narrow" w:hAnsi="Arial" w:cs="Arial"/>
          <w:b/>
          <w:color w:val="000000"/>
          <w:lang w:eastAsia="en-PH"/>
        </w:rPr>
      </w:pPr>
    </w:p>
    <w:p w14:paraId="780624D9" w14:textId="77777777" w:rsidR="00312FC6" w:rsidRPr="004C4F6D" w:rsidRDefault="003919DE" w:rsidP="004C4F6D">
      <w:pPr>
        <w:pStyle w:val="ListParagraph"/>
        <w:numPr>
          <w:ilvl w:val="7"/>
          <w:numId w:val="42"/>
        </w:numPr>
        <w:spacing w:after="0" w:line="240" w:lineRule="auto"/>
        <w:ind w:left="1134" w:hanging="425"/>
        <w:jc w:val="both"/>
        <w:rPr>
          <w:rFonts w:ascii="Arial" w:eastAsia="Arial Narrow" w:hAnsi="Arial" w:cs="Arial"/>
          <w:color w:val="000000"/>
          <w:lang w:eastAsia="en-PH"/>
        </w:rPr>
      </w:pPr>
      <w:r w:rsidRPr="004C4F6D">
        <w:rPr>
          <w:rFonts w:ascii="Arial" w:eastAsia="Arial Narrow" w:hAnsi="Arial" w:cs="Arial"/>
          <w:color w:val="000000"/>
          <w:lang w:eastAsia="en-PH"/>
        </w:rPr>
        <w:t>Automate the retrieval of ATM’s Electronic Journal (EJ) File and Terminal Readings (TR);</w:t>
      </w:r>
    </w:p>
    <w:p w14:paraId="1EC095AA" w14:textId="00D40420" w:rsidR="00312FC6" w:rsidRPr="004C4F6D" w:rsidRDefault="003919DE" w:rsidP="004C4F6D">
      <w:pPr>
        <w:pStyle w:val="ListParagraph"/>
        <w:numPr>
          <w:ilvl w:val="7"/>
          <w:numId w:val="42"/>
        </w:numPr>
        <w:spacing w:after="0" w:line="240" w:lineRule="auto"/>
        <w:ind w:left="1134" w:hanging="425"/>
        <w:jc w:val="both"/>
        <w:rPr>
          <w:rFonts w:ascii="Arial" w:eastAsia="Arial Narrow" w:hAnsi="Arial" w:cs="Arial"/>
          <w:color w:val="000000"/>
          <w:lang w:eastAsia="en-PH"/>
        </w:rPr>
      </w:pPr>
      <w:r w:rsidRPr="004C4F6D">
        <w:rPr>
          <w:rFonts w:ascii="Arial" w:eastAsia="Arial Narrow" w:hAnsi="Arial" w:cs="Arial"/>
          <w:color w:val="000000"/>
          <w:lang w:eastAsia="en-PH"/>
        </w:rPr>
        <w:t>Maximize the efficiency of LBP Branches in serving Bank clients (customer service focus) through timely retrieval of transaction data from ATM’s and for prompt response to customer complaints;</w:t>
      </w:r>
    </w:p>
    <w:p w14:paraId="5D3A65E9" w14:textId="77777777" w:rsidR="00312FC6" w:rsidRPr="004C4F6D" w:rsidRDefault="003919DE" w:rsidP="004C4F6D">
      <w:pPr>
        <w:pStyle w:val="ListParagraph"/>
        <w:numPr>
          <w:ilvl w:val="7"/>
          <w:numId w:val="42"/>
        </w:numPr>
        <w:spacing w:after="0" w:line="240" w:lineRule="auto"/>
        <w:ind w:left="1134" w:hanging="425"/>
        <w:jc w:val="both"/>
        <w:rPr>
          <w:rFonts w:ascii="Arial" w:eastAsia="Arial Narrow" w:hAnsi="Arial" w:cs="Arial"/>
          <w:color w:val="000000"/>
          <w:lang w:eastAsia="en-PH"/>
        </w:rPr>
      </w:pPr>
      <w:r w:rsidRPr="004C4F6D">
        <w:rPr>
          <w:rFonts w:ascii="Arial" w:eastAsia="Arial Narrow" w:hAnsi="Arial" w:cs="Arial"/>
          <w:color w:val="000000"/>
          <w:lang w:eastAsia="en-PH"/>
        </w:rPr>
        <w:t>Reduce costs attributed to manual method of performing EJ File downloading and ATM terminal reading;</w:t>
      </w:r>
    </w:p>
    <w:p w14:paraId="24647C9B" w14:textId="77777777" w:rsidR="00312FC6" w:rsidRPr="004C4F6D" w:rsidRDefault="003919DE" w:rsidP="004C4F6D">
      <w:pPr>
        <w:pStyle w:val="ListParagraph"/>
        <w:numPr>
          <w:ilvl w:val="7"/>
          <w:numId w:val="42"/>
        </w:numPr>
        <w:spacing w:after="0" w:line="240" w:lineRule="auto"/>
        <w:ind w:left="1134" w:hanging="425"/>
        <w:jc w:val="both"/>
        <w:rPr>
          <w:rFonts w:ascii="Arial" w:eastAsia="Arial Narrow" w:hAnsi="Arial" w:cs="Arial"/>
          <w:color w:val="000000"/>
          <w:lang w:eastAsia="en-PH"/>
        </w:rPr>
      </w:pPr>
      <w:r w:rsidRPr="004C4F6D">
        <w:rPr>
          <w:rFonts w:ascii="Arial" w:eastAsia="Arial Narrow" w:hAnsi="Arial" w:cs="Arial"/>
          <w:color w:val="000000"/>
          <w:lang w:eastAsia="en-PH"/>
        </w:rPr>
        <w:t>Ensure on-time and accurate reporting of the Bank’s cash position;</w:t>
      </w:r>
    </w:p>
    <w:p w14:paraId="3E0CFB6F" w14:textId="77777777" w:rsidR="00312FC6" w:rsidRPr="004C4F6D" w:rsidRDefault="003919DE" w:rsidP="004C4F6D">
      <w:pPr>
        <w:pStyle w:val="ListParagraph"/>
        <w:numPr>
          <w:ilvl w:val="7"/>
          <w:numId w:val="42"/>
        </w:numPr>
        <w:spacing w:after="0" w:line="240" w:lineRule="auto"/>
        <w:ind w:left="1134" w:hanging="425"/>
        <w:jc w:val="both"/>
        <w:rPr>
          <w:rFonts w:ascii="Arial" w:eastAsia="Arial Narrow" w:hAnsi="Arial" w:cs="Arial"/>
          <w:color w:val="000000"/>
          <w:lang w:eastAsia="en-PH"/>
        </w:rPr>
      </w:pPr>
      <w:r w:rsidRPr="004C4F6D">
        <w:rPr>
          <w:rFonts w:ascii="Arial" w:eastAsia="Arial Narrow" w:hAnsi="Arial" w:cs="Arial"/>
          <w:color w:val="000000"/>
          <w:lang w:eastAsia="en-PH"/>
        </w:rPr>
        <w:t>Improve/streamline the Bank’s processes thru system automation; and</w:t>
      </w:r>
    </w:p>
    <w:p w14:paraId="1316A2D9" w14:textId="77777777" w:rsidR="00312FC6" w:rsidRPr="004C4F6D" w:rsidRDefault="003919DE" w:rsidP="004C4F6D">
      <w:pPr>
        <w:pStyle w:val="ListParagraph"/>
        <w:numPr>
          <w:ilvl w:val="7"/>
          <w:numId w:val="42"/>
        </w:numPr>
        <w:spacing w:after="0" w:line="240" w:lineRule="auto"/>
        <w:ind w:left="1134" w:hanging="425"/>
        <w:jc w:val="both"/>
        <w:rPr>
          <w:rFonts w:ascii="Arial" w:eastAsia="Arial Narrow" w:hAnsi="Arial" w:cs="Arial"/>
          <w:color w:val="000000"/>
          <w:lang w:eastAsia="en-PH"/>
        </w:rPr>
      </w:pPr>
      <w:r w:rsidRPr="004C4F6D">
        <w:rPr>
          <w:rFonts w:ascii="Arial" w:eastAsia="Arial Narrow" w:hAnsi="Arial" w:cs="Arial"/>
          <w:color w:val="000000"/>
          <w:lang w:eastAsia="en-PH"/>
        </w:rPr>
        <w:t>Optimize the use of IDRARS through the Land Bank’s Intranet Facility in the transmission/retrieval of reports thus, providing on time/easy access to and the most convenient method of obtaining accurate information thru its on-line availability.</w:t>
      </w:r>
    </w:p>
    <w:p w14:paraId="66722A48" w14:textId="77777777" w:rsidR="00312FC6" w:rsidRPr="004C4F6D" w:rsidRDefault="00312FC6" w:rsidP="004C4F6D">
      <w:pPr>
        <w:pStyle w:val="ListParagraph"/>
        <w:spacing w:after="0" w:line="240" w:lineRule="auto"/>
        <w:ind w:left="900" w:right="133"/>
        <w:jc w:val="both"/>
        <w:rPr>
          <w:rFonts w:ascii="Arial" w:eastAsia="Arial Narrow" w:hAnsi="Arial" w:cs="Arial"/>
          <w:color w:val="000000"/>
          <w:lang w:eastAsia="en-PH"/>
        </w:rPr>
      </w:pPr>
    </w:p>
    <w:p w14:paraId="44CD08FD" w14:textId="7777777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On the other hand, LBP EO No. 58, series 2020, dated May 28, 2020, Guidelines on the Implementation of Land Bank ATM Reconciliation System (LARS), during terminal balancing and matching, provides that </w:t>
      </w:r>
      <w:r w:rsidRPr="004C4F6D">
        <w:rPr>
          <w:rFonts w:ascii="Arial" w:eastAsia="Arial Narrow" w:hAnsi="Arial" w:cs="Arial"/>
          <w:i/>
          <w:color w:val="000000"/>
          <w:lang w:eastAsia="en-PH"/>
        </w:rPr>
        <w:t xml:space="preserve">for missing EJ and TR, </w:t>
      </w:r>
      <w:r w:rsidRPr="004C4F6D">
        <w:rPr>
          <w:rFonts w:ascii="Arial" w:eastAsia="Arial Narrow" w:hAnsi="Arial" w:cs="Arial"/>
          <w:b/>
          <w:i/>
          <w:color w:val="000000"/>
          <w:lang w:eastAsia="en-PH"/>
        </w:rPr>
        <w:t>manually copy the files from the ATM/CDM Terminals and upload the same into the LARS</w:t>
      </w:r>
      <w:r w:rsidRPr="004C4F6D">
        <w:rPr>
          <w:rFonts w:ascii="Arial" w:eastAsia="Arial Narrow" w:hAnsi="Arial" w:cs="Arial"/>
          <w:i/>
          <w:color w:val="000000"/>
          <w:lang w:eastAsia="en-PH"/>
        </w:rPr>
        <w:t xml:space="preserve"> (only if not all terminals were affected, otherwise, coordinate with DCAMD for possible RARS issue/concern</w:t>
      </w:r>
      <w:r w:rsidRPr="004C4F6D">
        <w:rPr>
          <w:rFonts w:ascii="Arial" w:eastAsia="Arial Narrow" w:hAnsi="Arial" w:cs="Arial"/>
          <w:color w:val="000000"/>
          <w:lang w:eastAsia="en-PH"/>
        </w:rPr>
        <w:t>.</w:t>
      </w:r>
    </w:p>
    <w:p w14:paraId="08DE9CEB" w14:textId="77777777" w:rsidR="00312FC6" w:rsidRPr="004C4F6D" w:rsidRDefault="00312FC6" w:rsidP="004C4F6D">
      <w:pPr>
        <w:pStyle w:val="ListParagraph"/>
        <w:spacing w:after="0" w:line="240" w:lineRule="auto"/>
        <w:ind w:left="0" w:right="133"/>
        <w:jc w:val="both"/>
        <w:rPr>
          <w:rFonts w:ascii="Arial" w:eastAsia="Arial Narrow" w:hAnsi="Arial" w:cs="Arial"/>
          <w:color w:val="000000"/>
          <w:lang w:eastAsia="en-PH"/>
        </w:rPr>
      </w:pPr>
    </w:p>
    <w:p w14:paraId="5F369007" w14:textId="003FF811"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On handling of ATM/CDM Overage and Shortage, LBP EO </w:t>
      </w:r>
      <w:r w:rsidR="00054B2F" w:rsidRPr="004C4F6D">
        <w:rPr>
          <w:rFonts w:ascii="Arial" w:eastAsia="Arial Narrow" w:hAnsi="Arial" w:cs="Arial"/>
          <w:color w:val="000000"/>
          <w:lang w:eastAsia="en-PH"/>
        </w:rPr>
        <w:t xml:space="preserve">No. </w:t>
      </w:r>
      <w:r w:rsidRPr="004C4F6D">
        <w:rPr>
          <w:rFonts w:ascii="Arial" w:eastAsia="Arial Narrow" w:hAnsi="Arial" w:cs="Arial"/>
          <w:color w:val="000000"/>
          <w:lang w:eastAsia="en-PH"/>
        </w:rPr>
        <w:t>58 prescribes that</w:t>
      </w:r>
      <w:r w:rsidRPr="004C4F6D">
        <w:rPr>
          <w:rFonts w:ascii="Arial" w:eastAsia="Arial Narrow" w:hAnsi="Arial" w:cs="Arial"/>
          <w:i/>
          <w:color w:val="000000"/>
          <w:lang w:eastAsia="en-PH"/>
        </w:rPr>
        <w:t xml:space="preserve"> overages and shortages from daily balancing or cash retrieval shall be recognized and booked upon discovery and the same shall be investigated and resolved at the Branch level. </w:t>
      </w:r>
      <w:r w:rsidRPr="004C4F6D">
        <w:rPr>
          <w:rFonts w:ascii="Arial" w:eastAsia="Arial Narrow" w:hAnsi="Arial" w:cs="Arial"/>
          <w:color w:val="000000"/>
          <w:lang w:eastAsia="en-PH"/>
        </w:rPr>
        <w:t xml:space="preserve">Further, said EO provides that </w:t>
      </w:r>
      <w:r w:rsidRPr="004C4F6D">
        <w:rPr>
          <w:rFonts w:ascii="Arial" w:eastAsia="Arial Narrow" w:hAnsi="Arial" w:cs="Arial"/>
          <w:b/>
          <w:i/>
          <w:color w:val="000000"/>
          <w:lang w:eastAsia="en-PH"/>
        </w:rPr>
        <w:t>unaccounted ATM/CDM overages or shortages</w:t>
      </w:r>
      <w:r w:rsidRPr="004C4F6D">
        <w:rPr>
          <w:rFonts w:ascii="Arial" w:eastAsia="Arial Narrow" w:hAnsi="Arial" w:cs="Arial"/>
          <w:i/>
          <w:color w:val="000000"/>
          <w:lang w:eastAsia="en-PH"/>
        </w:rPr>
        <w:t xml:space="preserve"> shall be </w:t>
      </w:r>
      <w:r w:rsidRPr="004C4F6D">
        <w:rPr>
          <w:rFonts w:ascii="Arial" w:eastAsia="Arial Narrow" w:hAnsi="Arial" w:cs="Arial"/>
          <w:b/>
          <w:i/>
          <w:color w:val="000000"/>
          <w:lang w:eastAsia="en-PH"/>
        </w:rPr>
        <w:t>reversed to “Miscellaneous Income or Expense”</w:t>
      </w:r>
      <w:r w:rsidRPr="004C4F6D">
        <w:rPr>
          <w:rFonts w:ascii="Arial" w:eastAsia="Arial Narrow" w:hAnsi="Arial" w:cs="Arial"/>
          <w:i/>
          <w:color w:val="000000"/>
          <w:lang w:eastAsia="en-PH"/>
        </w:rPr>
        <w:t xml:space="preserve"> immediately upon approval in accordance with the provisions of the Codified Approving and Signing Authority (CASA), </w:t>
      </w:r>
      <w:r w:rsidRPr="004C4F6D">
        <w:rPr>
          <w:rFonts w:ascii="Arial" w:eastAsia="Arial Narrow" w:hAnsi="Arial" w:cs="Arial"/>
          <w:color w:val="000000"/>
          <w:lang w:eastAsia="en-PH"/>
        </w:rPr>
        <w:t xml:space="preserve">and that </w:t>
      </w:r>
      <w:r w:rsidRPr="004C4F6D">
        <w:rPr>
          <w:rFonts w:ascii="Arial" w:eastAsia="Arial Narrow" w:hAnsi="Arial" w:cs="Arial"/>
          <w:i/>
          <w:color w:val="000000"/>
          <w:lang w:eastAsia="en-PH"/>
        </w:rPr>
        <w:t xml:space="preserve">ATM/CDM overage or shortage </w:t>
      </w:r>
      <w:r w:rsidRPr="004C4F6D">
        <w:rPr>
          <w:rFonts w:ascii="Arial" w:eastAsia="Arial Narrow" w:hAnsi="Arial" w:cs="Arial"/>
          <w:b/>
          <w:i/>
          <w:color w:val="000000"/>
          <w:lang w:eastAsia="en-PH"/>
        </w:rPr>
        <w:t>resulting from the daily balancing’s time difference may be temporarily booked to Sundry Account</w:t>
      </w:r>
      <w:r w:rsidRPr="004C4F6D">
        <w:rPr>
          <w:rFonts w:ascii="Arial" w:eastAsia="Arial Narrow" w:hAnsi="Arial" w:cs="Arial"/>
          <w:i/>
          <w:color w:val="000000"/>
          <w:lang w:eastAsia="en-PH"/>
        </w:rPr>
        <w:t xml:space="preserve"> subject to immediate reversal once investigated and resolved. Overages and shortages during the </w:t>
      </w:r>
      <w:r w:rsidRPr="004C4F6D">
        <w:rPr>
          <w:rFonts w:ascii="Arial" w:eastAsia="Arial Narrow" w:hAnsi="Arial" w:cs="Arial"/>
          <w:b/>
          <w:i/>
          <w:color w:val="000000"/>
          <w:lang w:eastAsia="en-PH"/>
        </w:rPr>
        <w:t>cash retrieval</w:t>
      </w:r>
      <w:r w:rsidRPr="004C4F6D">
        <w:rPr>
          <w:rFonts w:ascii="Arial" w:eastAsia="Arial Narrow" w:hAnsi="Arial" w:cs="Arial"/>
          <w:i/>
          <w:color w:val="000000"/>
          <w:lang w:eastAsia="en-PH"/>
        </w:rPr>
        <w:t xml:space="preserve"> shall be </w:t>
      </w:r>
      <w:r w:rsidRPr="004C4F6D">
        <w:rPr>
          <w:rFonts w:ascii="Arial" w:eastAsia="Arial Narrow" w:hAnsi="Arial" w:cs="Arial"/>
          <w:b/>
          <w:i/>
          <w:color w:val="000000"/>
          <w:lang w:eastAsia="en-PH"/>
        </w:rPr>
        <w:t>investigated and resolved within three (3) banking days from retrieval date.</w:t>
      </w:r>
    </w:p>
    <w:p w14:paraId="4CC56757" w14:textId="77777777" w:rsidR="0022156C" w:rsidRPr="004C4F6D" w:rsidRDefault="0022156C" w:rsidP="004C4F6D">
      <w:pPr>
        <w:pStyle w:val="ListParagraph"/>
        <w:spacing w:after="0" w:line="240" w:lineRule="auto"/>
        <w:ind w:left="0"/>
        <w:jc w:val="both"/>
        <w:rPr>
          <w:rFonts w:ascii="Arial" w:eastAsia="Arial Narrow" w:hAnsi="Arial" w:cs="Arial"/>
          <w:color w:val="000000"/>
          <w:lang w:eastAsia="en-PH"/>
        </w:rPr>
      </w:pPr>
    </w:p>
    <w:p w14:paraId="7AEE8E33" w14:textId="619CA800" w:rsidR="00312FC6" w:rsidRDefault="003919DE" w:rsidP="004C4F6D">
      <w:pPr>
        <w:pStyle w:val="ListParagraph"/>
        <w:numPr>
          <w:ilvl w:val="1"/>
          <w:numId w:val="42"/>
        </w:numPr>
        <w:spacing w:after="0" w:line="240" w:lineRule="auto"/>
        <w:ind w:left="0" w:firstLine="0"/>
        <w:jc w:val="both"/>
        <w:rPr>
          <w:rFonts w:ascii="Arial" w:eastAsia="Arial Narrow" w:hAnsi="Arial" w:cs="Arial"/>
          <w:bCs/>
          <w:iCs/>
          <w:color w:val="000000"/>
          <w:lang w:eastAsia="en-PH"/>
        </w:rPr>
      </w:pPr>
      <w:r w:rsidRPr="004C4F6D">
        <w:rPr>
          <w:rFonts w:ascii="Arial" w:eastAsia="Arial Narrow" w:hAnsi="Arial" w:cs="Arial"/>
          <w:bCs/>
          <w:iCs/>
          <w:color w:val="000000"/>
          <w:lang w:eastAsia="en-PH"/>
        </w:rPr>
        <w:t>Review of the Schedules of ATM Outstanding Shortages and Overages of several LBP Branches showed a total of P42,762,516.32 and P81,862,175.25 in shortages and overages, respectively, that remained unresolved/unaccounted for more than 3 days as at December 31, 2022, as shown below:</w:t>
      </w:r>
    </w:p>
    <w:p w14:paraId="51E5F95E" w14:textId="0BCD49B3" w:rsidR="006460E1" w:rsidRPr="004C4F6D" w:rsidRDefault="006460E1" w:rsidP="006460E1">
      <w:pPr>
        <w:pStyle w:val="ListParagraph"/>
        <w:spacing w:after="0" w:line="240" w:lineRule="auto"/>
        <w:ind w:left="0"/>
        <w:jc w:val="both"/>
        <w:rPr>
          <w:rFonts w:ascii="Arial" w:eastAsia="Arial Narrow" w:hAnsi="Arial" w:cs="Arial"/>
          <w:bCs/>
          <w:iCs/>
          <w:color w:val="000000"/>
          <w:lang w:eastAsia="en-PH"/>
        </w:rPr>
      </w:pPr>
    </w:p>
    <w:tbl>
      <w:tblPr>
        <w:tblW w:w="8613" w:type="dxa"/>
        <w:jc w:val="center"/>
        <w:tblLayout w:type="fixed"/>
        <w:tblLook w:val="04A0" w:firstRow="1" w:lastRow="0" w:firstColumn="1" w:lastColumn="0" w:noHBand="0" w:noVBand="1"/>
      </w:tblPr>
      <w:tblGrid>
        <w:gridCol w:w="2146"/>
        <w:gridCol w:w="2147"/>
        <w:gridCol w:w="2146"/>
        <w:gridCol w:w="2174"/>
      </w:tblGrid>
      <w:tr w:rsidR="00312FC6" w:rsidRPr="004C4F6D" w14:paraId="74B5C288" w14:textId="77777777">
        <w:trPr>
          <w:trHeight w:val="20"/>
          <w:tblHeader/>
          <w:jc w:val="center"/>
        </w:trPr>
        <w:tc>
          <w:tcPr>
            <w:tcW w:w="2146" w:type="dxa"/>
            <w:tcBorders>
              <w:top w:val="single" w:sz="4" w:space="0" w:color="auto"/>
              <w:bottom w:val="single" w:sz="4" w:space="0" w:color="auto"/>
            </w:tcBorders>
            <w:shd w:val="clear" w:color="auto" w:fill="auto"/>
            <w:vAlign w:val="center"/>
          </w:tcPr>
          <w:p w14:paraId="170A365B"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b/>
                <w:color w:val="000000"/>
                <w:lang w:eastAsia="en-PH"/>
              </w:rPr>
              <w:t>REGION</w:t>
            </w:r>
          </w:p>
        </w:tc>
        <w:tc>
          <w:tcPr>
            <w:tcW w:w="2147" w:type="dxa"/>
            <w:tcBorders>
              <w:top w:val="single" w:sz="4" w:space="0" w:color="auto"/>
              <w:bottom w:val="single" w:sz="4" w:space="0" w:color="auto"/>
            </w:tcBorders>
            <w:shd w:val="clear" w:color="auto" w:fill="auto"/>
            <w:vAlign w:val="center"/>
          </w:tcPr>
          <w:p w14:paraId="7DD40F48"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b/>
                <w:color w:val="000000"/>
                <w:lang w:eastAsia="en-PH"/>
              </w:rPr>
              <w:t>SHORTAGE</w:t>
            </w:r>
          </w:p>
        </w:tc>
        <w:tc>
          <w:tcPr>
            <w:tcW w:w="2146" w:type="dxa"/>
            <w:tcBorders>
              <w:top w:val="single" w:sz="4" w:space="0" w:color="auto"/>
              <w:bottom w:val="single" w:sz="4" w:space="0" w:color="auto"/>
            </w:tcBorders>
            <w:shd w:val="clear" w:color="auto" w:fill="auto"/>
            <w:vAlign w:val="center"/>
          </w:tcPr>
          <w:p w14:paraId="4B5B2F46"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b/>
                <w:color w:val="000000"/>
                <w:lang w:eastAsia="en-PH"/>
              </w:rPr>
              <w:t>OVERAGE</w:t>
            </w:r>
          </w:p>
        </w:tc>
        <w:tc>
          <w:tcPr>
            <w:tcW w:w="2174" w:type="dxa"/>
            <w:tcBorders>
              <w:top w:val="single" w:sz="4" w:space="0" w:color="auto"/>
              <w:bottom w:val="single" w:sz="4" w:space="0" w:color="auto"/>
            </w:tcBorders>
            <w:shd w:val="clear" w:color="auto" w:fill="auto"/>
            <w:vAlign w:val="center"/>
          </w:tcPr>
          <w:p w14:paraId="04315C7C"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b/>
                <w:color w:val="000000"/>
                <w:lang w:eastAsia="en-PH"/>
              </w:rPr>
              <w:t>TOTAL</w:t>
            </w:r>
          </w:p>
        </w:tc>
      </w:tr>
      <w:tr w:rsidR="00312FC6" w:rsidRPr="004C4F6D" w14:paraId="6782F687" w14:textId="77777777">
        <w:trPr>
          <w:trHeight w:val="20"/>
          <w:jc w:val="center"/>
        </w:trPr>
        <w:tc>
          <w:tcPr>
            <w:tcW w:w="2146" w:type="dxa"/>
            <w:tcBorders>
              <w:top w:val="single" w:sz="4" w:space="0" w:color="auto"/>
            </w:tcBorders>
            <w:shd w:val="clear" w:color="auto" w:fill="auto"/>
            <w:vAlign w:val="center"/>
          </w:tcPr>
          <w:p w14:paraId="7BF4D22A"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color w:val="000000"/>
                <w:lang w:eastAsia="en-PH"/>
              </w:rPr>
              <w:t>CAR</w:t>
            </w:r>
          </w:p>
        </w:tc>
        <w:tc>
          <w:tcPr>
            <w:tcW w:w="2147" w:type="dxa"/>
            <w:tcBorders>
              <w:top w:val="single" w:sz="4" w:space="0" w:color="auto"/>
            </w:tcBorders>
            <w:shd w:val="clear" w:color="auto" w:fill="auto"/>
            <w:vAlign w:val="center"/>
          </w:tcPr>
          <w:p w14:paraId="7A2F91B6"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6,348,300.00</w:t>
            </w:r>
          </w:p>
        </w:tc>
        <w:tc>
          <w:tcPr>
            <w:tcW w:w="2146" w:type="dxa"/>
            <w:tcBorders>
              <w:top w:val="single" w:sz="4" w:space="0" w:color="auto"/>
            </w:tcBorders>
            <w:shd w:val="clear" w:color="auto" w:fill="auto"/>
            <w:vAlign w:val="center"/>
          </w:tcPr>
          <w:p w14:paraId="0DF5E815"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6,626,500.00</w:t>
            </w:r>
          </w:p>
        </w:tc>
        <w:tc>
          <w:tcPr>
            <w:tcW w:w="2174" w:type="dxa"/>
            <w:tcBorders>
              <w:top w:val="single" w:sz="4" w:space="0" w:color="auto"/>
            </w:tcBorders>
            <w:shd w:val="clear" w:color="auto" w:fill="auto"/>
            <w:vAlign w:val="center"/>
          </w:tcPr>
          <w:p w14:paraId="2DD535F0"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12,974,800.00</w:t>
            </w:r>
          </w:p>
        </w:tc>
      </w:tr>
      <w:tr w:rsidR="00312FC6" w:rsidRPr="004C4F6D" w14:paraId="3018DED3" w14:textId="77777777">
        <w:trPr>
          <w:trHeight w:val="20"/>
          <w:jc w:val="center"/>
        </w:trPr>
        <w:tc>
          <w:tcPr>
            <w:tcW w:w="2146" w:type="dxa"/>
            <w:shd w:val="clear" w:color="auto" w:fill="auto"/>
            <w:vAlign w:val="center"/>
          </w:tcPr>
          <w:p w14:paraId="263877AE"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color w:val="000000"/>
                <w:lang w:eastAsia="en-PH"/>
              </w:rPr>
              <w:t>NCR</w:t>
            </w:r>
          </w:p>
        </w:tc>
        <w:tc>
          <w:tcPr>
            <w:tcW w:w="2147" w:type="dxa"/>
            <w:shd w:val="clear" w:color="auto" w:fill="auto"/>
            <w:vAlign w:val="center"/>
          </w:tcPr>
          <w:p w14:paraId="5F54117F"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22,526,300.00</w:t>
            </w:r>
          </w:p>
        </w:tc>
        <w:tc>
          <w:tcPr>
            <w:tcW w:w="2146" w:type="dxa"/>
            <w:shd w:val="clear" w:color="auto" w:fill="auto"/>
            <w:vAlign w:val="center"/>
          </w:tcPr>
          <w:p w14:paraId="37301353"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21,753,880.25</w:t>
            </w:r>
          </w:p>
        </w:tc>
        <w:tc>
          <w:tcPr>
            <w:tcW w:w="2174" w:type="dxa"/>
            <w:shd w:val="clear" w:color="auto" w:fill="auto"/>
            <w:vAlign w:val="center"/>
          </w:tcPr>
          <w:p w14:paraId="4A6216FE"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44,280,180.25</w:t>
            </w:r>
          </w:p>
        </w:tc>
      </w:tr>
      <w:tr w:rsidR="00312FC6" w:rsidRPr="004C4F6D" w14:paraId="3E0DBB74" w14:textId="77777777">
        <w:trPr>
          <w:trHeight w:val="20"/>
          <w:jc w:val="center"/>
        </w:trPr>
        <w:tc>
          <w:tcPr>
            <w:tcW w:w="2146" w:type="dxa"/>
            <w:shd w:val="clear" w:color="auto" w:fill="auto"/>
            <w:vAlign w:val="center"/>
          </w:tcPr>
          <w:p w14:paraId="4529023E"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color w:val="000000"/>
                <w:lang w:eastAsia="en-PH"/>
              </w:rPr>
              <w:t>II</w:t>
            </w:r>
          </w:p>
        </w:tc>
        <w:tc>
          <w:tcPr>
            <w:tcW w:w="2147" w:type="dxa"/>
            <w:shd w:val="clear" w:color="auto" w:fill="auto"/>
            <w:vAlign w:val="center"/>
          </w:tcPr>
          <w:p w14:paraId="5147EA33"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154,800.00</w:t>
            </w:r>
          </w:p>
        </w:tc>
        <w:tc>
          <w:tcPr>
            <w:tcW w:w="2146" w:type="dxa"/>
            <w:shd w:val="clear" w:color="auto" w:fill="auto"/>
            <w:vAlign w:val="center"/>
          </w:tcPr>
          <w:p w14:paraId="4EF09306"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190,500.00</w:t>
            </w:r>
          </w:p>
        </w:tc>
        <w:tc>
          <w:tcPr>
            <w:tcW w:w="2174" w:type="dxa"/>
            <w:shd w:val="clear" w:color="auto" w:fill="auto"/>
            <w:vAlign w:val="center"/>
          </w:tcPr>
          <w:p w14:paraId="7E45279D"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345,300.00</w:t>
            </w:r>
          </w:p>
        </w:tc>
      </w:tr>
      <w:tr w:rsidR="00312FC6" w:rsidRPr="004C4F6D" w14:paraId="57C897B5" w14:textId="77777777">
        <w:trPr>
          <w:trHeight w:val="20"/>
          <w:jc w:val="center"/>
        </w:trPr>
        <w:tc>
          <w:tcPr>
            <w:tcW w:w="2146" w:type="dxa"/>
            <w:shd w:val="clear" w:color="auto" w:fill="auto"/>
            <w:vAlign w:val="center"/>
          </w:tcPr>
          <w:p w14:paraId="2FDD3013"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color w:val="000000"/>
                <w:lang w:eastAsia="en-PH"/>
              </w:rPr>
              <w:t>III</w:t>
            </w:r>
          </w:p>
        </w:tc>
        <w:tc>
          <w:tcPr>
            <w:tcW w:w="2147" w:type="dxa"/>
            <w:shd w:val="clear" w:color="auto" w:fill="auto"/>
            <w:vAlign w:val="center"/>
          </w:tcPr>
          <w:p w14:paraId="538A280F"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231,400.00</w:t>
            </w:r>
          </w:p>
        </w:tc>
        <w:tc>
          <w:tcPr>
            <w:tcW w:w="2146" w:type="dxa"/>
            <w:shd w:val="clear" w:color="auto" w:fill="auto"/>
            <w:vAlign w:val="center"/>
          </w:tcPr>
          <w:p w14:paraId="762FBB83"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44,592,995.00</w:t>
            </w:r>
          </w:p>
        </w:tc>
        <w:tc>
          <w:tcPr>
            <w:tcW w:w="2174" w:type="dxa"/>
            <w:shd w:val="clear" w:color="auto" w:fill="auto"/>
            <w:vAlign w:val="center"/>
          </w:tcPr>
          <w:p w14:paraId="2039784B"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44,824,395.00</w:t>
            </w:r>
          </w:p>
        </w:tc>
      </w:tr>
      <w:tr w:rsidR="00312FC6" w:rsidRPr="004C4F6D" w14:paraId="5D0CA990" w14:textId="77777777">
        <w:trPr>
          <w:trHeight w:val="20"/>
          <w:jc w:val="center"/>
        </w:trPr>
        <w:tc>
          <w:tcPr>
            <w:tcW w:w="2146" w:type="dxa"/>
            <w:shd w:val="clear" w:color="auto" w:fill="auto"/>
            <w:vAlign w:val="center"/>
          </w:tcPr>
          <w:p w14:paraId="4570D904"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color w:val="000000"/>
                <w:lang w:eastAsia="en-PH"/>
              </w:rPr>
              <w:t>IV-A</w:t>
            </w:r>
          </w:p>
        </w:tc>
        <w:tc>
          <w:tcPr>
            <w:tcW w:w="2147" w:type="dxa"/>
            <w:shd w:val="clear" w:color="auto" w:fill="auto"/>
            <w:vAlign w:val="center"/>
          </w:tcPr>
          <w:p w14:paraId="15423543"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85,800.00</w:t>
            </w:r>
          </w:p>
        </w:tc>
        <w:tc>
          <w:tcPr>
            <w:tcW w:w="2146" w:type="dxa"/>
            <w:shd w:val="clear" w:color="auto" w:fill="auto"/>
            <w:vAlign w:val="center"/>
          </w:tcPr>
          <w:p w14:paraId="280217C5"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20,800.00</w:t>
            </w:r>
          </w:p>
        </w:tc>
        <w:tc>
          <w:tcPr>
            <w:tcW w:w="2174" w:type="dxa"/>
            <w:shd w:val="clear" w:color="auto" w:fill="auto"/>
            <w:vAlign w:val="center"/>
          </w:tcPr>
          <w:p w14:paraId="73569E88"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106,600.00</w:t>
            </w:r>
          </w:p>
        </w:tc>
      </w:tr>
      <w:tr w:rsidR="00312FC6" w:rsidRPr="004C4F6D" w14:paraId="51E231AE" w14:textId="77777777">
        <w:trPr>
          <w:trHeight w:val="20"/>
          <w:jc w:val="center"/>
        </w:trPr>
        <w:tc>
          <w:tcPr>
            <w:tcW w:w="2146" w:type="dxa"/>
            <w:shd w:val="clear" w:color="auto" w:fill="auto"/>
            <w:vAlign w:val="center"/>
          </w:tcPr>
          <w:p w14:paraId="49D1D15A"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color w:val="000000"/>
                <w:lang w:eastAsia="en-PH"/>
              </w:rPr>
              <w:lastRenderedPageBreak/>
              <w:t>IV-B</w:t>
            </w:r>
          </w:p>
        </w:tc>
        <w:tc>
          <w:tcPr>
            <w:tcW w:w="2147" w:type="dxa"/>
            <w:shd w:val="clear" w:color="auto" w:fill="auto"/>
            <w:vAlign w:val="center"/>
          </w:tcPr>
          <w:p w14:paraId="115953F2"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56,400.00</w:t>
            </w:r>
          </w:p>
        </w:tc>
        <w:tc>
          <w:tcPr>
            <w:tcW w:w="2146" w:type="dxa"/>
            <w:shd w:val="clear" w:color="auto" w:fill="auto"/>
            <w:vAlign w:val="center"/>
          </w:tcPr>
          <w:p w14:paraId="2AF6341F"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460,600.00</w:t>
            </w:r>
          </w:p>
        </w:tc>
        <w:tc>
          <w:tcPr>
            <w:tcW w:w="2174" w:type="dxa"/>
            <w:shd w:val="clear" w:color="auto" w:fill="auto"/>
            <w:vAlign w:val="center"/>
          </w:tcPr>
          <w:p w14:paraId="423A4E7F"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517,000.00</w:t>
            </w:r>
          </w:p>
        </w:tc>
      </w:tr>
      <w:tr w:rsidR="00312FC6" w:rsidRPr="004C4F6D" w14:paraId="7F89D532" w14:textId="77777777">
        <w:trPr>
          <w:trHeight w:val="20"/>
          <w:jc w:val="center"/>
        </w:trPr>
        <w:tc>
          <w:tcPr>
            <w:tcW w:w="2146" w:type="dxa"/>
            <w:shd w:val="clear" w:color="auto" w:fill="auto"/>
            <w:vAlign w:val="center"/>
          </w:tcPr>
          <w:p w14:paraId="6D98CE5A"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color w:val="000000"/>
                <w:lang w:eastAsia="en-PH"/>
              </w:rPr>
              <w:t>VI</w:t>
            </w:r>
          </w:p>
        </w:tc>
        <w:tc>
          <w:tcPr>
            <w:tcW w:w="2147" w:type="dxa"/>
            <w:shd w:val="clear" w:color="auto" w:fill="auto"/>
            <w:vAlign w:val="center"/>
          </w:tcPr>
          <w:p w14:paraId="1A31535A"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1,292,400.00</w:t>
            </w:r>
          </w:p>
        </w:tc>
        <w:tc>
          <w:tcPr>
            <w:tcW w:w="2146" w:type="dxa"/>
            <w:shd w:val="clear" w:color="auto" w:fill="auto"/>
            <w:vAlign w:val="center"/>
          </w:tcPr>
          <w:p w14:paraId="71575286"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877,100.00</w:t>
            </w:r>
          </w:p>
        </w:tc>
        <w:tc>
          <w:tcPr>
            <w:tcW w:w="2174" w:type="dxa"/>
            <w:shd w:val="clear" w:color="auto" w:fill="auto"/>
            <w:vAlign w:val="center"/>
          </w:tcPr>
          <w:p w14:paraId="3E05CCAD"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2,169,500.00</w:t>
            </w:r>
          </w:p>
        </w:tc>
      </w:tr>
      <w:tr w:rsidR="00312FC6" w:rsidRPr="004C4F6D" w14:paraId="14CDA731" w14:textId="77777777">
        <w:trPr>
          <w:trHeight w:val="20"/>
          <w:jc w:val="center"/>
        </w:trPr>
        <w:tc>
          <w:tcPr>
            <w:tcW w:w="2146" w:type="dxa"/>
            <w:shd w:val="clear" w:color="auto" w:fill="auto"/>
            <w:vAlign w:val="center"/>
          </w:tcPr>
          <w:p w14:paraId="65C4E2E3"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color w:val="000000"/>
                <w:lang w:eastAsia="en-PH"/>
              </w:rPr>
              <w:t>VIII</w:t>
            </w:r>
          </w:p>
        </w:tc>
        <w:tc>
          <w:tcPr>
            <w:tcW w:w="2147" w:type="dxa"/>
            <w:shd w:val="clear" w:color="auto" w:fill="auto"/>
            <w:vAlign w:val="center"/>
          </w:tcPr>
          <w:p w14:paraId="4D4104E4"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11,322,300.00</w:t>
            </w:r>
          </w:p>
        </w:tc>
        <w:tc>
          <w:tcPr>
            <w:tcW w:w="2146" w:type="dxa"/>
            <w:shd w:val="clear" w:color="auto" w:fill="auto"/>
            <w:vAlign w:val="center"/>
          </w:tcPr>
          <w:p w14:paraId="52658448"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6,473,000.00</w:t>
            </w:r>
          </w:p>
        </w:tc>
        <w:tc>
          <w:tcPr>
            <w:tcW w:w="2174" w:type="dxa"/>
            <w:shd w:val="clear" w:color="auto" w:fill="auto"/>
            <w:vAlign w:val="center"/>
          </w:tcPr>
          <w:p w14:paraId="1B9095C0"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17,795,300.00</w:t>
            </w:r>
          </w:p>
        </w:tc>
      </w:tr>
      <w:tr w:rsidR="00312FC6" w:rsidRPr="004C4F6D" w14:paraId="177D8B84" w14:textId="77777777">
        <w:trPr>
          <w:trHeight w:val="20"/>
          <w:jc w:val="center"/>
        </w:trPr>
        <w:tc>
          <w:tcPr>
            <w:tcW w:w="2146" w:type="dxa"/>
            <w:tcBorders>
              <w:bottom w:val="single" w:sz="4" w:space="0" w:color="auto"/>
            </w:tcBorders>
            <w:shd w:val="clear" w:color="auto" w:fill="auto"/>
            <w:vAlign w:val="center"/>
          </w:tcPr>
          <w:p w14:paraId="3093BE5F"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color w:val="000000"/>
                <w:lang w:eastAsia="en-PH"/>
              </w:rPr>
              <w:t>XI</w:t>
            </w:r>
          </w:p>
        </w:tc>
        <w:tc>
          <w:tcPr>
            <w:tcW w:w="2147" w:type="dxa"/>
            <w:tcBorders>
              <w:bottom w:val="single" w:sz="4" w:space="0" w:color="auto"/>
            </w:tcBorders>
            <w:shd w:val="clear" w:color="auto" w:fill="auto"/>
            <w:vAlign w:val="center"/>
          </w:tcPr>
          <w:p w14:paraId="2EFB0580"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744,816.32</w:t>
            </w:r>
          </w:p>
        </w:tc>
        <w:tc>
          <w:tcPr>
            <w:tcW w:w="2146" w:type="dxa"/>
            <w:tcBorders>
              <w:bottom w:val="single" w:sz="4" w:space="0" w:color="auto"/>
            </w:tcBorders>
            <w:shd w:val="clear" w:color="auto" w:fill="auto"/>
            <w:vAlign w:val="center"/>
          </w:tcPr>
          <w:p w14:paraId="6F0EC1CF"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866,800.00</w:t>
            </w:r>
          </w:p>
        </w:tc>
        <w:tc>
          <w:tcPr>
            <w:tcW w:w="2174" w:type="dxa"/>
            <w:tcBorders>
              <w:bottom w:val="single" w:sz="4" w:space="0" w:color="auto"/>
            </w:tcBorders>
            <w:shd w:val="clear" w:color="auto" w:fill="auto"/>
            <w:vAlign w:val="center"/>
          </w:tcPr>
          <w:p w14:paraId="242E18E3"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color w:val="000000"/>
                <w:lang w:eastAsia="en-PH"/>
              </w:rPr>
              <w:t>1,611,616.32</w:t>
            </w:r>
          </w:p>
        </w:tc>
      </w:tr>
      <w:tr w:rsidR="00312FC6" w:rsidRPr="004C4F6D" w14:paraId="147FC0B1" w14:textId="77777777">
        <w:trPr>
          <w:trHeight w:val="20"/>
          <w:jc w:val="center"/>
        </w:trPr>
        <w:tc>
          <w:tcPr>
            <w:tcW w:w="2146" w:type="dxa"/>
            <w:tcBorders>
              <w:top w:val="single" w:sz="4" w:space="0" w:color="auto"/>
              <w:bottom w:val="double" w:sz="4" w:space="0" w:color="auto"/>
            </w:tcBorders>
            <w:shd w:val="clear" w:color="auto" w:fill="auto"/>
            <w:vAlign w:val="center"/>
          </w:tcPr>
          <w:p w14:paraId="465E12A1" w14:textId="77777777" w:rsidR="00312FC6" w:rsidRPr="004C4F6D" w:rsidRDefault="003919DE" w:rsidP="004C4F6D">
            <w:pPr>
              <w:spacing w:after="0" w:line="240" w:lineRule="auto"/>
              <w:ind w:right="133"/>
              <w:jc w:val="center"/>
              <w:rPr>
                <w:rFonts w:ascii="Arial" w:eastAsia="Arial Narrow" w:hAnsi="Arial" w:cs="Arial"/>
                <w:color w:val="000000"/>
                <w:lang w:eastAsia="en-PH"/>
              </w:rPr>
            </w:pPr>
            <w:r w:rsidRPr="004C4F6D">
              <w:rPr>
                <w:rFonts w:ascii="Arial" w:eastAsia="Arial Narrow" w:hAnsi="Arial" w:cs="Arial"/>
                <w:b/>
                <w:color w:val="000000"/>
                <w:lang w:eastAsia="en-PH"/>
              </w:rPr>
              <w:t>TOTAL</w:t>
            </w:r>
          </w:p>
        </w:tc>
        <w:tc>
          <w:tcPr>
            <w:tcW w:w="2147" w:type="dxa"/>
            <w:tcBorders>
              <w:top w:val="single" w:sz="4" w:space="0" w:color="auto"/>
              <w:bottom w:val="double" w:sz="4" w:space="0" w:color="auto"/>
            </w:tcBorders>
            <w:shd w:val="clear" w:color="auto" w:fill="auto"/>
            <w:vAlign w:val="center"/>
          </w:tcPr>
          <w:p w14:paraId="21FD95DD"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b/>
                <w:color w:val="000000"/>
                <w:lang w:eastAsia="en-PH"/>
              </w:rPr>
              <w:t>42,762,516.32</w:t>
            </w:r>
          </w:p>
        </w:tc>
        <w:tc>
          <w:tcPr>
            <w:tcW w:w="2146" w:type="dxa"/>
            <w:tcBorders>
              <w:top w:val="single" w:sz="4" w:space="0" w:color="auto"/>
              <w:bottom w:val="double" w:sz="4" w:space="0" w:color="auto"/>
            </w:tcBorders>
            <w:shd w:val="clear" w:color="auto" w:fill="auto"/>
            <w:vAlign w:val="center"/>
          </w:tcPr>
          <w:p w14:paraId="186AFDEE"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b/>
                <w:color w:val="000000"/>
                <w:lang w:eastAsia="en-PH"/>
              </w:rPr>
              <w:t>81,862,175.25</w:t>
            </w:r>
          </w:p>
        </w:tc>
        <w:tc>
          <w:tcPr>
            <w:tcW w:w="2174" w:type="dxa"/>
            <w:tcBorders>
              <w:top w:val="single" w:sz="4" w:space="0" w:color="auto"/>
              <w:bottom w:val="double" w:sz="4" w:space="0" w:color="auto"/>
            </w:tcBorders>
            <w:shd w:val="clear" w:color="auto" w:fill="auto"/>
            <w:vAlign w:val="center"/>
          </w:tcPr>
          <w:p w14:paraId="5B9C413E" w14:textId="77777777" w:rsidR="00312FC6" w:rsidRPr="004C4F6D" w:rsidRDefault="003919DE" w:rsidP="004C4F6D">
            <w:pPr>
              <w:spacing w:after="0" w:line="240" w:lineRule="auto"/>
              <w:ind w:right="133"/>
              <w:jc w:val="right"/>
              <w:rPr>
                <w:rFonts w:ascii="Arial" w:eastAsia="Arial Narrow" w:hAnsi="Arial" w:cs="Arial"/>
                <w:color w:val="000000"/>
                <w:lang w:eastAsia="en-PH"/>
              </w:rPr>
            </w:pPr>
            <w:r w:rsidRPr="004C4F6D">
              <w:rPr>
                <w:rFonts w:ascii="Arial" w:eastAsia="Arial Narrow" w:hAnsi="Arial" w:cs="Arial"/>
                <w:b/>
                <w:color w:val="000000"/>
                <w:lang w:eastAsia="en-PH"/>
              </w:rPr>
              <w:t>124,624,691.57</w:t>
            </w:r>
          </w:p>
        </w:tc>
      </w:tr>
    </w:tbl>
    <w:p w14:paraId="040FFFA0" w14:textId="77777777" w:rsidR="00312FC6" w:rsidRPr="004C4F6D" w:rsidRDefault="00312FC6" w:rsidP="004C4F6D">
      <w:pPr>
        <w:tabs>
          <w:tab w:val="left" w:pos="203"/>
          <w:tab w:val="left" w:pos="353"/>
          <w:tab w:val="left" w:pos="564"/>
          <w:tab w:val="left" w:pos="709"/>
          <w:tab w:val="left" w:pos="993"/>
          <w:tab w:val="left" w:pos="1414"/>
        </w:tabs>
        <w:spacing w:after="0" w:line="240" w:lineRule="auto"/>
        <w:ind w:right="133"/>
        <w:jc w:val="both"/>
        <w:rPr>
          <w:rFonts w:ascii="Arial" w:eastAsia="Arial Narrow" w:hAnsi="Arial" w:cs="Arial"/>
          <w:i/>
          <w:color w:val="000000"/>
          <w:u w:val="single"/>
          <w:lang w:eastAsia="en-PH"/>
        </w:rPr>
      </w:pPr>
    </w:p>
    <w:p w14:paraId="74CE4EE0" w14:textId="33495744" w:rsidR="00312FC6" w:rsidRPr="004C4F6D" w:rsidRDefault="003919DE" w:rsidP="004C4F6D">
      <w:pPr>
        <w:pStyle w:val="ListParagraph"/>
        <w:numPr>
          <w:ilvl w:val="1"/>
          <w:numId w:val="33"/>
        </w:numPr>
        <w:spacing w:after="0" w:line="240" w:lineRule="auto"/>
        <w:ind w:left="720" w:hanging="720"/>
        <w:jc w:val="both"/>
        <w:rPr>
          <w:rFonts w:ascii="Arial" w:eastAsia="Arial Narrow" w:hAnsi="Arial" w:cs="Arial"/>
          <w:b/>
          <w:bCs/>
          <w:color w:val="000000"/>
          <w:lang w:eastAsia="en-PH"/>
        </w:rPr>
      </w:pPr>
      <w:r w:rsidRPr="004C4F6D">
        <w:rPr>
          <w:rFonts w:ascii="Arial" w:eastAsia="Arial Narrow" w:hAnsi="Arial" w:cs="Arial"/>
          <w:b/>
          <w:bCs/>
          <w:i/>
          <w:color w:val="000000"/>
          <w:lang w:eastAsia="en-PH"/>
        </w:rPr>
        <w:t>RARS’ frequent inability to automate retrieval of ATM files and the prescribed contingency procedures in case of system failure</w:t>
      </w:r>
      <w:r w:rsidR="000C4A7E" w:rsidRPr="004C4F6D">
        <w:rPr>
          <w:rFonts w:ascii="Arial" w:eastAsia="Arial Narrow" w:hAnsi="Arial" w:cs="Arial"/>
          <w:b/>
          <w:bCs/>
          <w:i/>
          <w:color w:val="000000"/>
          <w:lang w:eastAsia="en-PH"/>
        </w:rPr>
        <w:t xml:space="preserve"> not employed</w:t>
      </w:r>
    </w:p>
    <w:p w14:paraId="29B4D898" w14:textId="77777777" w:rsidR="00312FC6" w:rsidRPr="004C4F6D" w:rsidRDefault="00312FC6" w:rsidP="004C4F6D">
      <w:pPr>
        <w:spacing w:after="0" w:line="240" w:lineRule="auto"/>
        <w:ind w:left="375" w:right="133"/>
        <w:jc w:val="both"/>
        <w:rPr>
          <w:rFonts w:ascii="Arial" w:eastAsia="Arial Narrow" w:hAnsi="Arial" w:cs="Arial"/>
          <w:color w:val="000000"/>
          <w:lang w:eastAsia="en-PH"/>
        </w:rPr>
      </w:pPr>
    </w:p>
    <w:p w14:paraId="19E60461" w14:textId="465BA0B8" w:rsidR="00312FC6" w:rsidRPr="004C4F6D" w:rsidRDefault="009056DE" w:rsidP="004C4F6D">
      <w:pPr>
        <w:pStyle w:val="ListParagraph"/>
        <w:numPr>
          <w:ilvl w:val="1"/>
          <w:numId w:val="42"/>
        </w:numPr>
        <w:spacing w:after="0" w:line="240" w:lineRule="auto"/>
        <w:ind w:left="0" w:firstLine="0"/>
        <w:jc w:val="both"/>
        <w:rPr>
          <w:rFonts w:ascii="Arial" w:eastAsia="Times New Roman" w:hAnsi="Arial" w:cs="Arial"/>
          <w:color w:val="000000"/>
          <w:lang w:eastAsia="en-PH"/>
        </w:rPr>
      </w:pPr>
      <w:r>
        <w:rPr>
          <w:rFonts w:ascii="Arial" w:eastAsia="Arial Narrow" w:hAnsi="Arial" w:cs="Arial"/>
          <w:color w:val="000000"/>
          <w:lang w:eastAsia="en-PH"/>
        </w:rPr>
        <w:t>A LARS in-c</w:t>
      </w:r>
      <w:r w:rsidR="003919DE" w:rsidRPr="004C4F6D">
        <w:rPr>
          <w:rFonts w:ascii="Arial" w:eastAsia="Arial Narrow" w:hAnsi="Arial" w:cs="Arial"/>
          <w:color w:val="000000"/>
          <w:lang w:eastAsia="en-PH"/>
        </w:rPr>
        <w:t>harge informed that there were several instances that RARS was unable to remotely generate the EJ and TR. As a result, if the RARS was not functioning properly, LARS was unable to facilitate the automatic reconciliation and balancing and settlement of ATM and CDM Transactions, necessitating Branches to use manual procedures for reconciliation, causing delay to the reconciliation of undispensed cash withdrawn in the ATM and crediting of the undispensed amount to client’s account.</w:t>
      </w:r>
    </w:p>
    <w:p w14:paraId="2842C9D1" w14:textId="77777777" w:rsidR="00312FC6" w:rsidRPr="004C4F6D" w:rsidRDefault="00312FC6" w:rsidP="004C4F6D">
      <w:pPr>
        <w:pStyle w:val="ListParagraph"/>
        <w:spacing w:after="0" w:line="240" w:lineRule="auto"/>
        <w:ind w:left="0" w:right="133"/>
        <w:jc w:val="both"/>
        <w:rPr>
          <w:rFonts w:ascii="Arial" w:eastAsia="Times New Roman" w:hAnsi="Arial" w:cs="Arial"/>
          <w:color w:val="000000"/>
          <w:lang w:eastAsia="en-PH"/>
        </w:rPr>
      </w:pPr>
    </w:p>
    <w:p w14:paraId="254522D5" w14:textId="1A9A1CC1"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color w:val="000000"/>
          <w:lang w:eastAsia="en-PH"/>
        </w:rPr>
      </w:pPr>
      <w:r w:rsidRPr="004C4F6D">
        <w:rPr>
          <w:rFonts w:ascii="Arial" w:eastAsia="Arial Narrow" w:hAnsi="Arial" w:cs="Arial"/>
          <w:color w:val="000000"/>
          <w:lang w:eastAsia="en-PH"/>
        </w:rPr>
        <w:t xml:space="preserve">Inquiry with Branch Banking Support Department (BBSD), the system owner of RARS, revealed that during system malfunctions, an advisory </w:t>
      </w:r>
      <w:r w:rsidR="002B3E2C" w:rsidRPr="004C4F6D">
        <w:rPr>
          <w:rFonts w:ascii="Arial" w:eastAsia="Arial Narrow" w:hAnsi="Arial" w:cs="Arial"/>
          <w:color w:val="000000"/>
          <w:lang w:eastAsia="en-PH"/>
        </w:rPr>
        <w:t xml:space="preserve">is regularly send </w:t>
      </w:r>
      <w:r w:rsidRPr="004C4F6D">
        <w:rPr>
          <w:rFonts w:ascii="Arial" w:eastAsia="Arial Narrow" w:hAnsi="Arial" w:cs="Arial"/>
          <w:color w:val="000000"/>
          <w:lang w:eastAsia="en-PH"/>
        </w:rPr>
        <w:t xml:space="preserve">to all branches informing </w:t>
      </w:r>
      <w:r w:rsidR="002B3E2C" w:rsidRPr="004C4F6D">
        <w:rPr>
          <w:rFonts w:ascii="Arial" w:eastAsia="Arial Narrow" w:hAnsi="Arial" w:cs="Arial"/>
          <w:color w:val="000000"/>
          <w:lang w:eastAsia="en-PH"/>
        </w:rPr>
        <w:t>of the</w:t>
      </w:r>
      <w:r w:rsidRPr="004C4F6D">
        <w:rPr>
          <w:rFonts w:ascii="Arial" w:eastAsia="Arial Narrow" w:hAnsi="Arial" w:cs="Arial"/>
          <w:color w:val="000000"/>
          <w:lang w:eastAsia="en-PH"/>
        </w:rPr>
        <w:t xml:space="preserve"> remote retrieval of EJ is unavailable. Consequently, the branches are instructed to manually copy EJs from the ATM Terminals and upload them to the LARS for daily balancing and reconciliation.</w:t>
      </w:r>
    </w:p>
    <w:p w14:paraId="6855F8ED" w14:textId="77777777" w:rsidR="00312FC6" w:rsidRPr="004C4F6D" w:rsidRDefault="00312FC6" w:rsidP="004C4F6D">
      <w:pPr>
        <w:pStyle w:val="ListParagraph"/>
        <w:spacing w:after="0" w:line="240" w:lineRule="auto"/>
        <w:rPr>
          <w:rFonts w:ascii="Arial" w:eastAsia="Arial Narrow" w:hAnsi="Arial" w:cs="Arial"/>
          <w:color w:val="000000"/>
          <w:lang w:eastAsia="en-PH"/>
        </w:rPr>
      </w:pPr>
    </w:p>
    <w:p w14:paraId="453B9B1A" w14:textId="67B65F08"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color w:val="000000"/>
          <w:lang w:eastAsia="en-PH"/>
        </w:rPr>
      </w:pPr>
      <w:r w:rsidRPr="004C4F6D">
        <w:rPr>
          <w:rFonts w:ascii="Arial" w:eastAsia="Arial Narrow" w:hAnsi="Arial" w:cs="Arial"/>
          <w:color w:val="000000"/>
          <w:lang w:eastAsia="en-PH"/>
        </w:rPr>
        <w:t>However, it was observed that most of the designated personnel often faced difficulties in manually retrieving the EJ due to the offsite ATM terminals' remote accessibility and the considerable number of terminals that required servicing. Furthermore, the files could not be saved as the necessary compact disc was usually unavailable. At times, the files from the said terminals were also inaccessible due to machine/connection problems. As a result, the LARS in-charge either upload the last available EJ/TR into the system or will not upload any EJ/TR at all leading to shortages and overages if automated reconciliation is performed through LARS. The LAR</w:t>
      </w:r>
      <w:r w:rsidR="00A17332">
        <w:rPr>
          <w:rFonts w:ascii="Arial" w:eastAsia="Arial Narrow" w:hAnsi="Arial" w:cs="Arial"/>
          <w:color w:val="000000"/>
          <w:lang w:eastAsia="en-PH"/>
        </w:rPr>
        <w:t>S</w:t>
      </w:r>
      <w:r w:rsidRPr="004C4F6D">
        <w:rPr>
          <w:rFonts w:ascii="Arial" w:eastAsia="Arial Narrow" w:hAnsi="Arial" w:cs="Arial"/>
          <w:color w:val="000000"/>
          <w:lang w:eastAsia="en-PH"/>
        </w:rPr>
        <w:t xml:space="preserve"> in charge will just make necessary adjusting entries once the correct EJ and TR are accessible.</w:t>
      </w:r>
    </w:p>
    <w:p w14:paraId="1ABA09B7" w14:textId="77777777" w:rsidR="00312FC6" w:rsidRPr="004C4F6D" w:rsidRDefault="00312FC6" w:rsidP="004C4F6D">
      <w:pPr>
        <w:tabs>
          <w:tab w:val="left" w:pos="851"/>
        </w:tabs>
        <w:spacing w:after="0" w:line="240" w:lineRule="auto"/>
        <w:jc w:val="both"/>
        <w:rPr>
          <w:rFonts w:ascii="Arial" w:eastAsia="Arial Narrow" w:hAnsi="Arial" w:cs="Arial"/>
          <w:color w:val="000000"/>
          <w:lang w:eastAsia="en-PH"/>
        </w:rPr>
      </w:pPr>
    </w:p>
    <w:p w14:paraId="6E138014" w14:textId="385C656E" w:rsidR="00312FC6" w:rsidRPr="004C4F6D" w:rsidRDefault="000C4A7E" w:rsidP="004C4F6D">
      <w:pPr>
        <w:pStyle w:val="ListParagraph"/>
        <w:numPr>
          <w:ilvl w:val="1"/>
          <w:numId w:val="33"/>
        </w:numPr>
        <w:spacing w:after="0" w:line="240" w:lineRule="auto"/>
        <w:ind w:left="720" w:hanging="720"/>
        <w:jc w:val="both"/>
        <w:rPr>
          <w:rFonts w:ascii="Arial" w:eastAsia="Arial Narrow" w:hAnsi="Arial" w:cs="Arial"/>
          <w:b/>
          <w:bCs/>
          <w:i/>
          <w:color w:val="000000"/>
          <w:lang w:eastAsia="en-PH"/>
        </w:rPr>
      </w:pPr>
      <w:r w:rsidRPr="004C4F6D">
        <w:rPr>
          <w:rFonts w:ascii="Arial" w:eastAsia="Arial Narrow" w:hAnsi="Arial" w:cs="Arial"/>
          <w:b/>
          <w:bCs/>
          <w:i/>
          <w:color w:val="000000"/>
          <w:lang w:eastAsia="en-PH"/>
        </w:rPr>
        <w:t>P</w:t>
      </w:r>
      <w:r w:rsidR="003919DE" w:rsidRPr="004C4F6D">
        <w:rPr>
          <w:rFonts w:ascii="Arial" w:eastAsia="Arial Narrow" w:hAnsi="Arial" w:cs="Arial"/>
          <w:b/>
          <w:bCs/>
          <w:i/>
          <w:color w:val="000000"/>
          <w:lang w:eastAsia="en-PH"/>
        </w:rPr>
        <w:t>rocedures on resolving overages and shortages</w:t>
      </w:r>
      <w:r w:rsidRPr="004C4F6D">
        <w:rPr>
          <w:rFonts w:ascii="Arial" w:eastAsia="Arial Narrow" w:hAnsi="Arial" w:cs="Arial"/>
          <w:b/>
          <w:bCs/>
          <w:i/>
          <w:color w:val="000000"/>
          <w:lang w:eastAsia="en-PH"/>
        </w:rPr>
        <w:t xml:space="preserve"> not complied</w:t>
      </w:r>
    </w:p>
    <w:p w14:paraId="7D256DDB" w14:textId="77777777" w:rsidR="00312FC6" w:rsidRPr="004C4F6D" w:rsidRDefault="003919DE" w:rsidP="004C4F6D">
      <w:pPr>
        <w:tabs>
          <w:tab w:val="left" w:pos="1134"/>
          <w:tab w:val="left" w:pos="1843"/>
          <w:tab w:val="left" w:pos="1985"/>
        </w:tabs>
        <w:spacing w:after="0" w:line="240" w:lineRule="auto"/>
        <w:ind w:right="133"/>
        <w:jc w:val="both"/>
        <w:rPr>
          <w:rFonts w:ascii="Arial" w:eastAsia="Arial Narrow" w:hAnsi="Arial" w:cs="Arial"/>
          <w:color w:val="000000"/>
          <w:lang w:eastAsia="en-PH"/>
        </w:rPr>
      </w:pPr>
      <w:r w:rsidRPr="004C4F6D">
        <w:rPr>
          <w:rFonts w:ascii="Arial" w:eastAsia="Arial Narrow" w:hAnsi="Arial" w:cs="Arial"/>
          <w:color w:val="000000"/>
          <w:lang w:eastAsia="en-PH"/>
        </w:rPr>
        <w:tab/>
        <w:t xml:space="preserve"> </w:t>
      </w:r>
    </w:p>
    <w:p w14:paraId="1FF46EA9" w14:textId="1DDC02B2"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color w:val="000000"/>
          <w:lang w:eastAsia="en-PH"/>
        </w:rPr>
      </w:pPr>
      <w:r w:rsidRPr="004C4F6D">
        <w:rPr>
          <w:rFonts w:ascii="Arial" w:eastAsia="Arial Narrow" w:hAnsi="Arial" w:cs="Arial"/>
          <w:color w:val="000000"/>
          <w:lang w:eastAsia="en-PH"/>
        </w:rPr>
        <w:t xml:space="preserve">It was verified that unaccounted ATM/CDM overages and shortages were not immediately reversed to Miscellaneous Income or Expense accounts contrary to LBP EO </w:t>
      </w:r>
      <w:r w:rsidR="00B0331A" w:rsidRPr="004C4F6D">
        <w:rPr>
          <w:rFonts w:ascii="Arial" w:eastAsia="Arial Narrow" w:hAnsi="Arial" w:cs="Arial"/>
          <w:color w:val="000000"/>
          <w:lang w:eastAsia="en-PH"/>
        </w:rPr>
        <w:t xml:space="preserve">No. </w:t>
      </w:r>
      <w:r w:rsidRPr="004C4F6D">
        <w:rPr>
          <w:rFonts w:ascii="Arial" w:eastAsia="Arial Narrow" w:hAnsi="Arial" w:cs="Arial"/>
          <w:color w:val="000000"/>
          <w:lang w:eastAsia="en-PH"/>
        </w:rPr>
        <w:t>58.  A LARS bookkeeper disclosed that they cannot validate the discrepancies immediately due to the unavailability of the Electronic Journal (EJ) file. Further, it was noted that some of the initiated request for reversals were disapproved by their respective AC because the supporting documents provided were incomplete, incorrect, or not in compliance with policies.</w:t>
      </w:r>
    </w:p>
    <w:p w14:paraId="7F4605DC" w14:textId="77777777" w:rsidR="00312FC6" w:rsidRPr="004C4F6D" w:rsidRDefault="00312FC6" w:rsidP="004C4F6D">
      <w:pPr>
        <w:pStyle w:val="ListParagraph"/>
        <w:spacing w:after="0" w:line="240" w:lineRule="auto"/>
        <w:ind w:left="0" w:right="133"/>
        <w:jc w:val="both"/>
        <w:rPr>
          <w:rFonts w:ascii="Arial" w:eastAsia="Times New Roman" w:hAnsi="Arial" w:cs="Arial"/>
          <w:color w:val="000000"/>
          <w:lang w:eastAsia="en-PH"/>
        </w:rPr>
      </w:pPr>
    </w:p>
    <w:p w14:paraId="3C5BB92A" w14:textId="77777777"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color w:val="000000"/>
          <w:lang w:eastAsia="en-PH"/>
        </w:rPr>
      </w:pPr>
      <w:r w:rsidRPr="004C4F6D">
        <w:rPr>
          <w:rFonts w:ascii="Arial" w:eastAsia="Arial Narrow" w:hAnsi="Arial" w:cs="Arial"/>
          <w:color w:val="000000"/>
          <w:lang w:eastAsia="en-PH"/>
        </w:rPr>
        <w:t>Also, it is worth noting that an Internal Control Policy of the Branches and Extension Offices (EOs) that the Branch Head or designated Branch Officer shall conduct an independent review of the recorded ATM shortages and overages every quarter to determine frequency; if booking/reversal are in accordance with policies; and request investigation if necessary. However, according to our inquiry, independent review of the recorded shortages and overages was not made by the Branch Head or designated Branch Officer that contributed to the accumulation of unresolved/unaccounted shortages and overages.</w:t>
      </w:r>
    </w:p>
    <w:p w14:paraId="6BB1BC07" w14:textId="6186D092"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color w:val="000000"/>
          <w:lang w:eastAsia="en-PH"/>
        </w:rPr>
      </w:pPr>
      <w:r w:rsidRPr="004C4F6D">
        <w:rPr>
          <w:rFonts w:ascii="Arial" w:eastAsia="Arial Narrow" w:hAnsi="Arial" w:cs="Arial"/>
          <w:color w:val="000000"/>
          <w:lang w:eastAsia="en-PH"/>
        </w:rPr>
        <w:lastRenderedPageBreak/>
        <w:t xml:space="preserve">Further, it </w:t>
      </w:r>
      <w:r w:rsidR="00B0331A" w:rsidRPr="004C4F6D">
        <w:rPr>
          <w:rFonts w:ascii="Arial" w:eastAsia="Arial Narrow" w:hAnsi="Arial" w:cs="Arial"/>
          <w:color w:val="000000"/>
          <w:lang w:eastAsia="en-PH"/>
        </w:rPr>
        <w:t>was</w:t>
      </w:r>
      <w:r w:rsidRPr="004C4F6D">
        <w:rPr>
          <w:rFonts w:ascii="Arial" w:eastAsia="Arial Narrow" w:hAnsi="Arial" w:cs="Arial"/>
          <w:color w:val="000000"/>
          <w:lang w:eastAsia="en-PH"/>
        </w:rPr>
        <w:t xml:space="preserve"> noted that the ATM Machine end-of-day balancing cut-off and the bank’s transaction cut-off that were not synchronized</w:t>
      </w:r>
      <w:r w:rsidR="009A2E2B" w:rsidRPr="004C4F6D">
        <w:rPr>
          <w:rFonts w:ascii="Arial" w:eastAsia="Arial Narrow" w:hAnsi="Arial" w:cs="Arial"/>
          <w:color w:val="000000"/>
          <w:lang w:eastAsia="en-PH"/>
        </w:rPr>
        <w:t>.</w:t>
      </w:r>
      <w:r w:rsidRPr="004C4F6D">
        <w:rPr>
          <w:rFonts w:ascii="Arial" w:eastAsia="Arial Narrow" w:hAnsi="Arial" w:cs="Arial"/>
          <w:color w:val="000000"/>
          <w:lang w:eastAsia="en-PH"/>
        </w:rPr>
        <w:t xml:space="preserve"> </w:t>
      </w:r>
      <w:r w:rsidR="009A2E2B" w:rsidRPr="004C4F6D">
        <w:rPr>
          <w:rFonts w:ascii="Arial" w:eastAsia="Arial Narrow" w:hAnsi="Arial" w:cs="Arial"/>
          <w:color w:val="000000"/>
          <w:lang w:eastAsia="en-PH"/>
        </w:rPr>
        <w:t>T</w:t>
      </w:r>
      <w:r w:rsidRPr="004C4F6D">
        <w:rPr>
          <w:rFonts w:ascii="Arial" w:eastAsia="Arial Narrow" w:hAnsi="Arial" w:cs="Arial"/>
          <w:color w:val="000000"/>
          <w:lang w:eastAsia="en-PH"/>
        </w:rPr>
        <w:t>here were ATM/CDM overages a</w:t>
      </w:r>
      <w:r w:rsidR="00584D97" w:rsidRPr="004C4F6D">
        <w:rPr>
          <w:rFonts w:ascii="Arial" w:eastAsia="Arial Narrow" w:hAnsi="Arial" w:cs="Arial"/>
          <w:color w:val="000000"/>
          <w:lang w:eastAsia="en-PH"/>
        </w:rPr>
        <w:t>n</w:t>
      </w:r>
      <w:r w:rsidRPr="004C4F6D">
        <w:rPr>
          <w:rFonts w:ascii="Arial" w:eastAsia="Arial Narrow" w:hAnsi="Arial" w:cs="Arial"/>
          <w:color w:val="000000"/>
          <w:lang w:eastAsia="en-PH"/>
        </w:rPr>
        <w:t>d shortages resulting from the said daily balancing’s time difference that were not temporarily booked to Sundry Account, for immediate reversal once investigated and resolved, contrary also to LBP EO 58. The reason these could not be resolved within three (3) banking days from the date of booking was the continued unavailability of reports generated by LARS through RARS. As a result, the branches had to keep track of any discrepancies in the daily balancing as an additional workload.</w:t>
      </w:r>
    </w:p>
    <w:p w14:paraId="1C8741D2" w14:textId="77777777" w:rsidR="00312FC6" w:rsidRPr="004C4F6D" w:rsidRDefault="00312FC6" w:rsidP="004C4F6D">
      <w:pPr>
        <w:pStyle w:val="ListParagraph"/>
        <w:spacing w:after="0" w:line="240" w:lineRule="auto"/>
        <w:rPr>
          <w:rFonts w:ascii="Arial" w:eastAsia="Arial Narrow" w:hAnsi="Arial" w:cs="Arial"/>
          <w:color w:val="000000"/>
          <w:lang w:eastAsia="en-PH"/>
        </w:rPr>
      </w:pPr>
    </w:p>
    <w:p w14:paraId="0BF4D0B6" w14:textId="6980C385" w:rsidR="00312FC6" w:rsidRPr="004C4F6D" w:rsidRDefault="009A2E2B" w:rsidP="004C4F6D">
      <w:pPr>
        <w:pStyle w:val="ListParagraph"/>
        <w:numPr>
          <w:ilvl w:val="1"/>
          <w:numId w:val="42"/>
        </w:numPr>
        <w:spacing w:after="0" w:line="240" w:lineRule="auto"/>
        <w:ind w:left="0" w:firstLine="0"/>
        <w:jc w:val="both"/>
        <w:rPr>
          <w:rFonts w:ascii="Arial" w:eastAsia="Times New Roman" w:hAnsi="Arial" w:cs="Arial"/>
          <w:color w:val="000000"/>
          <w:lang w:eastAsia="en-PH"/>
        </w:rPr>
      </w:pPr>
      <w:r w:rsidRPr="004C4F6D">
        <w:rPr>
          <w:rFonts w:ascii="Arial" w:eastAsia="Arial Narrow" w:hAnsi="Arial" w:cs="Arial"/>
          <w:color w:val="000000"/>
          <w:lang w:eastAsia="en-PH"/>
        </w:rPr>
        <w:t>In a</w:t>
      </w:r>
      <w:r w:rsidR="003919DE" w:rsidRPr="004C4F6D">
        <w:rPr>
          <w:rFonts w:ascii="Arial" w:eastAsia="Arial Narrow" w:hAnsi="Arial" w:cs="Arial"/>
          <w:color w:val="000000"/>
          <w:lang w:eastAsia="en-PH"/>
        </w:rPr>
        <w:t>ddition, it was noted that the Land Bank Information System Technology - Summary of Inter Branch Transaction (SIBT) / Transaction Log File (TLF) Reports, which were utilized to reconcile the transaction data obtained from the ATM Terminals through RARS, failed to account for transactions related to Cardless and Land Bank Prepaid Master Card Withdrawals. Consequently, this has resulted in a substantial accumulation of unresolved shortages and overages, which have not been transferred to Sundry Accounts for prompt resolution.</w:t>
      </w:r>
    </w:p>
    <w:p w14:paraId="49F78B2B" w14:textId="77777777" w:rsidR="00312FC6" w:rsidRPr="004C4F6D" w:rsidRDefault="00312FC6" w:rsidP="004C4F6D">
      <w:pPr>
        <w:pStyle w:val="ListParagraph"/>
        <w:spacing w:after="0" w:line="240" w:lineRule="auto"/>
        <w:rPr>
          <w:rFonts w:ascii="Arial" w:eastAsia="Arial Narrow" w:hAnsi="Arial" w:cs="Arial"/>
          <w:color w:val="000000"/>
          <w:lang w:eastAsia="en-PH"/>
        </w:rPr>
      </w:pPr>
    </w:p>
    <w:p w14:paraId="38A2BB2D" w14:textId="77777777"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color w:val="000000"/>
          <w:lang w:eastAsia="en-PH"/>
        </w:rPr>
      </w:pPr>
      <w:r w:rsidRPr="004C4F6D">
        <w:rPr>
          <w:rFonts w:ascii="Arial" w:eastAsia="Arial Narrow" w:hAnsi="Arial" w:cs="Arial"/>
          <w:color w:val="000000"/>
          <w:lang w:eastAsia="en-PH"/>
        </w:rPr>
        <w:t>Lastly, overages and shortages during the cash retrieval were not investigated and resolved within three (3) banking days from retrieval date, contrary to LBP EO 58. According to the LARS Bookkeeper, there have been cases of real cash transactions that were not dispensed due to machine errors. In such cases, they usually had to wait for the next ATM retrieval cycle to ensure that no complaints were filed, which could take an extra three to four days, or sometimes even up to a month, to resolve the issue due to the unavailability of the necessary RARS reports required to confirm and validate the appropriate resolution for the said shortages or overages.</w:t>
      </w:r>
    </w:p>
    <w:p w14:paraId="55F37CEC" w14:textId="77777777" w:rsidR="00312FC6" w:rsidRPr="004C4F6D" w:rsidRDefault="00312FC6" w:rsidP="004C4F6D">
      <w:pPr>
        <w:pStyle w:val="ListParagraph"/>
        <w:spacing w:after="0" w:line="240" w:lineRule="auto"/>
        <w:rPr>
          <w:rFonts w:ascii="Arial" w:eastAsia="Arial Narrow" w:hAnsi="Arial" w:cs="Arial"/>
          <w:color w:val="000000"/>
          <w:lang w:eastAsia="en-PH"/>
        </w:rPr>
      </w:pPr>
    </w:p>
    <w:p w14:paraId="790C3FD3" w14:textId="32A4AA21"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color w:val="000000"/>
          <w:lang w:eastAsia="en-PH"/>
        </w:rPr>
      </w:pPr>
      <w:r w:rsidRPr="004C4F6D">
        <w:rPr>
          <w:rFonts w:ascii="Arial" w:eastAsia="Arial Narrow" w:hAnsi="Arial" w:cs="Arial"/>
          <w:color w:val="000000"/>
          <w:lang w:eastAsia="en-PH"/>
        </w:rPr>
        <w:t>The frequent non-availability of the reports generated by LARS through RARS and the failure of the designated Branch personnel to employ contingency procedures</w:t>
      </w:r>
      <w:r w:rsidR="009A2E2B" w:rsidRPr="004C4F6D">
        <w:rPr>
          <w:rFonts w:ascii="Arial" w:eastAsia="Arial Narrow" w:hAnsi="Arial" w:cs="Arial"/>
          <w:color w:val="000000"/>
          <w:lang w:eastAsia="en-PH"/>
        </w:rPr>
        <w:t>,</w:t>
      </w:r>
      <w:r w:rsidRPr="004C4F6D">
        <w:rPr>
          <w:rFonts w:ascii="Arial" w:eastAsia="Arial Narrow" w:hAnsi="Arial" w:cs="Arial"/>
          <w:color w:val="000000"/>
          <w:lang w:eastAsia="en-PH"/>
        </w:rPr>
        <w:t xml:space="preserve"> and the lack of faithful compliance with the handling of overages and shortages, resulted to overages and shortages of P81,862,175.25 and P42,762,516.32, respectively, which remained unresolved/unaccounted for 3 to over 360 days as at December 31, 2022.</w:t>
      </w:r>
    </w:p>
    <w:p w14:paraId="65F9768A" w14:textId="77777777" w:rsidR="00312FC6" w:rsidRPr="004C4F6D" w:rsidRDefault="00312FC6" w:rsidP="004C4F6D">
      <w:pPr>
        <w:pStyle w:val="ListParagraph"/>
        <w:spacing w:after="0" w:line="240" w:lineRule="auto"/>
        <w:ind w:left="0"/>
        <w:jc w:val="both"/>
        <w:rPr>
          <w:rFonts w:ascii="Arial" w:eastAsia="Times New Roman" w:hAnsi="Arial" w:cs="Arial"/>
          <w:color w:val="000000"/>
          <w:lang w:eastAsia="en-PH"/>
        </w:rPr>
      </w:pPr>
    </w:p>
    <w:p w14:paraId="2E4573C3" w14:textId="14502905" w:rsidR="00312FC6" w:rsidRPr="004C4F6D" w:rsidRDefault="003919DE" w:rsidP="004C4F6D">
      <w:pPr>
        <w:pStyle w:val="ListParagraph"/>
        <w:numPr>
          <w:ilvl w:val="1"/>
          <w:numId w:val="42"/>
        </w:numPr>
        <w:spacing w:after="0" w:line="240" w:lineRule="auto"/>
        <w:ind w:left="0" w:right="133" w:firstLine="0"/>
        <w:jc w:val="both"/>
        <w:rPr>
          <w:rFonts w:ascii="Arial" w:eastAsia="Times New Roman" w:hAnsi="Arial" w:cs="Arial"/>
          <w:b/>
          <w:color w:val="000000"/>
          <w:lang w:eastAsia="en-PH"/>
        </w:rPr>
      </w:pPr>
      <w:r w:rsidRPr="004C4F6D">
        <w:rPr>
          <w:rFonts w:ascii="Arial" w:eastAsia="Times New Roman" w:hAnsi="Arial" w:cs="Arial"/>
          <w:b/>
          <w:color w:val="000000"/>
          <w:lang w:eastAsia="en-PH"/>
        </w:rPr>
        <w:t>We recommended</w:t>
      </w:r>
      <w:r w:rsidR="00E7402F" w:rsidRPr="004C4F6D">
        <w:rPr>
          <w:rFonts w:ascii="Arial" w:eastAsia="Times New Roman" w:hAnsi="Arial" w:cs="Arial"/>
          <w:b/>
          <w:color w:val="000000"/>
          <w:lang w:eastAsia="en-PH"/>
        </w:rPr>
        <w:t xml:space="preserve"> and Management agreed</w:t>
      </w:r>
      <w:r w:rsidRPr="004C4F6D">
        <w:rPr>
          <w:rFonts w:ascii="Arial" w:eastAsia="Times New Roman" w:hAnsi="Arial" w:cs="Arial"/>
          <w:b/>
          <w:color w:val="000000"/>
          <w:lang w:eastAsia="en-PH"/>
        </w:rPr>
        <w:t xml:space="preserve"> that:</w:t>
      </w:r>
    </w:p>
    <w:p w14:paraId="3976BB55" w14:textId="77777777" w:rsidR="00312FC6" w:rsidRPr="004C4F6D" w:rsidRDefault="00312FC6" w:rsidP="004C4F6D">
      <w:pPr>
        <w:pStyle w:val="ListParagraph"/>
        <w:spacing w:after="0" w:line="240" w:lineRule="auto"/>
        <w:ind w:left="0" w:right="133"/>
        <w:jc w:val="both"/>
        <w:rPr>
          <w:rFonts w:ascii="Arial" w:eastAsia="Times New Roman" w:hAnsi="Arial" w:cs="Arial"/>
          <w:b/>
          <w:color w:val="000000"/>
          <w:lang w:eastAsia="en-PH"/>
        </w:rPr>
      </w:pPr>
    </w:p>
    <w:p w14:paraId="1AFD8E43" w14:textId="0BD9AFDE" w:rsidR="00312FC6" w:rsidRPr="004C4F6D" w:rsidRDefault="003919DE" w:rsidP="004C4F6D">
      <w:pPr>
        <w:pStyle w:val="ListParagraph"/>
        <w:numPr>
          <w:ilvl w:val="7"/>
          <w:numId w:val="42"/>
        </w:numPr>
        <w:spacing w:after="0" w:line="240" w:lineRule="auto"/>
        <w:ind w:left="720" w:firstLine="0"/>
        <w:jc w:val="both"/>
        <w:rPr>
          <w:rFonts w:ascii="Arial" w:eastAsia="Arial Narrow" w:hAnsi="Arial" w:cs="Arial"/>
          <w:b/>
          <w:color w:val="000000"/>
          <w:lang w:eastAsia="en-PH"/>
        </w:rPr>
      </w:pPr>
      <w:r w:rsidRPr="004C4F6D">
        <w:rPr>
          <w:rFonts w:ascii="Arial" w:eastAsia="Arial Narrow" w:hAnsi="Arial" w:cs="Arial"/>
          <w:b/>
          <w:color w:val="000000"/>
          <w:lang w:eastAsia="en-PH"/>
        </w:rPr>
        <w:t>The Branch designated personnel consistently perform contingency procedures in accordance with existing guidelines when no files are uploaded into the LARS or when a system failure</w:t>
      </w:r>
      <w:r w:rsidR="00624F80" w:rsidRPr="004C4F6D">
        <w:rPr>
          <w:rFonts w:ascii="Arial" w:eastAsia="Arial Narrow" w:hAnsi="Arial" w:cs="Arial"/>
          <w:b/>
          <w:color w:val="000000"/>
          <w:lang w:eastAsia="en-PH"/>
        </w:rPr>
        <w:t xml:space="preserve"> occurs</w:t>
      </w:r>
      <w:r w:rsidRPr="004C4F6D">
        <w:rPr>
          <w:rFonts w:ascii="Arial" w:eastAsia="Arial Narrow" w:hAnsi="Arial" w:cs="Arial"/>
          <w:b/>
          <w:color w:val="000000"/>
          <w:lang w:eastAsia="en-PH"/>
        </w:rPr>
        <w:t>;</w:t>
      </w:r>
    </w:p>
    <w:p w14:paraId="0C4766C7" w14:textId="77777777" w:rsidR="00312FC6" w:rsidRPr="004C4F6D" w:rsidRDefault="00312FC6" w:rsidP="004C4F6D">
      <w:pPr>
        <w:pStyle w:val="ListParagraph"/>
        <w:spacing w:after="0" w:line="240" w:lineRule="auto"/>
        <w:jc w:val="both"/>
        <w:rPr>
          <w:rFonts w:ascii="Arial" w:eastAsia="Arial Narrow" w:hAnsi="Arial" w:cs="Arial"/>
          <w:b/>
          <w:color w:val="000000"/>
          <w:lang w:eastAsia="en-PH"/>
        </w:rPr>
      </w:pPr>
    </w:p>
    <w:p w14:paraId="2A3E89E1" w14:textId="498BDD86" w:rsidR="00312FC6" w:rsidRPr="004C4F6D" w:rsidRDefault="003919DE" w:rsidP="004C4F6D">
      <w:pPr>
        <w:pStyle w:val="ListParagraph"/>
        <w:numPr>
          <w:ilvl w:val="7"/>
          <w:numId w:val="42"/>
        </w:numPr>
        <w:spacing w:after="0" w:line="240" w:lineRule="auto"/>
        <w:ind w:left="720" w:firstLine="0"/>
        <w:jc w:val="both"/>
        <w:rPr>
          <w:rFonts w:ascii="Arial" w:eastAsia="Arial Narrow" w:hAnsi="Arial" w:cs="Arial"/>
          <w:b/>
          <w:color w:val="000000"/>
          <w:lang w:eastAsia="en-PH"/>
        </w:rPr>
      </w:pPr>
      <w:r w:rsidRPr="004C4F6D">
        <w:rPr>
          <w:rFonts w:ascii="Arial" w:eastAsia="Arial Narrow" w:hAnsi="Arial" w:cs="Arial"/>
          <w:b/>
          <w:color w:val="000000"/>
          <w:lang w:eastAsia="en-PH"/>
        </w:rPr>
        <w:t>The Branches in coordination with their respective Accounting Centers, reconcile and immediately reverse unaccounted Overages and Shortages to Miscellaneous Income/Expense and Sundry Accounts, in accordance with LBP EO No.</w:t>
      </w:r>
      <w:r w:rsidR="00624F80" w:rsidRPr="004C4F6D">
        <w:rPr>
          <w:rFonts w:ascii="Arial" w:eastAsia="Arial Narrow" w:hAnsi="Arial" w:cs="Arial"/>
          <w:b/>
          <w:color w:val="000000"/>
          <w:lang w:eastAsia="en-PH"/>
        </w:rPr>
        <w:t xml:space="preserve"> </w:t>
      </w:r>
      <w:r w:rsidRPr="004C4F6D">
        <w:rPr>
          <w:rFonts w:ascii="Arial" w:eastAsia="Arial Narrow" w:hAnsi="Arial" w:cs="Arial"/>
          <w:b/>
          <w:color w:val="000000"/>
          <w:lang w:eastAsia="en-PH"/>
        </w:rPr>
        <w:t>58;</w:t>
      </w:r>
      <w:r w:rsidR="00624F80" w:rsidRPr="004C4F6D">
        <w:rPr>
          <w:rFonts w:ascii="Arial" w:eastAsia="Arial Narrow" w:hAnsi="Arial" w:cs="Arial"/>
          <w:b/>
          <w:color w:val="000000"/>
          <w:lang w:eastAsia="en-PH"/>
        </w:rPr>
        <w:t xml:space="preserve"> and</w:t>
      </w:r>
    </w:p>
    <w:p w14:paraId="3C3C4F4F" w14:textId="77777777" w:rsidR="00312FC6" w:rsidRPr="004C4F6D" w:rsidRDefault="00312FC6" w:rsidP="004C4F6D">
      <w:pPr>
        <w:spacing w:after="0" w:line="240" w:lineRule="auto"/>
        <w:jc w:val="both"/>
        <w:rPr>
          <w:rFonts w:ascii="Arial" w:eastAsia="Arial Narrow" w:hAnsi="Arial" w:cs="Arial"/>
          <w:b/>
          <w:color w:val="000000"/>
          <w:lang w:eastAsia="en-PH"/>
        </w:rPr>
      </w:pPr>
    </w:p>
    <w:p w14:paraId="70BB69FB" w14:textId="77777777" w:rsidR="00312FC6" w:rsidRPr="004C4F6D" w:rsidRDefault="003919DE" w:rsidP="004C4F6D">
      <w:pPr>
        <w:pStyle w:val="ListParagraph"/>
        <w:numPr>
          <w:ilvl w:val="7"/>
          <w:numId w:val="42"/>
        </w:numPr>
        <w:spacing w:after="0" w:line="240" w:lineRule="auto"/>
        <w:ind w:left="720" w:firstLine="0"/>
        <w:jc w:val="both"/>
        <w:rPr>
          <w:rFonts w:ascii="Arial" w:eastAsia="Arial Narrow" w:hAnsi="Arial" w:cs="Arial"/>
          <w:b/>
          <w:color w:val="000000"/>
          <w:lang w:eastAsia="en-PH"/>
        </w:rPr>
      </w:pPr>
      <w:r w:rsidRPr="004C4F6D">
        <w:rPr>
          <w:rFonts w:ascii="Arial" w:eastAsia="Arial Narrow" w:hAnsi="Arial" w:cs="Arial"/>
          <w:b/>
          <w:color w:val="000000"/>
          <w:lang w:eastAsia="en-PH"/>
        </w:rPr>
        <w:t>For the system owner to monitor necessary enhancements to RARS to ensure that the system delivers the expected output of automating retrieval of ATM reports for accurate and timely reporting, maximizing efficiency of Bank personnel and reducing costs to the Bank.</w:t>
      </w:r>
    </w:p>
    <w:p w14:paraId="31024FB0" w14:textId="77777777" w:rsidR="00312FC6" w:rsidRPr="004C4F6D" w:rsidRDefault="00312FC6" w:rsidP="004C4F6D">
      <w:pPr>
        <w:pStyle w:val="ListParagraph"/>
        <w:spacing w:after="0" w:line="240" w:lineRule="auto"/>
        <w:rPr>
          <w:rFonts w:ascii="Arial" w:eastAsia="Arial Narrow" w:hAnsi="Arial" w:cs="Arial"/>
          <w:color w:val="000000"/>
          <w:lang w:eastAsia="en-PH"/>
        </w:rPr>
      </w:pPr>
    </w:p>
    <w:p w14:paraId="40B7EDD3" w14:textId="18FF3F59" w:rsidR="00312FC6" w:rsidRDefault="003919DE" w:rsidP="004C4F6D">
      <w:pPr>
        <w:pStyle w:val="ListParagraph"/>
        <w:numPr>
          <w:ilvl w:val="1"/>
          <w:numId w:val="42"/>
        </w:numPr>
        <w:spacing w:after="0" w:line="240" w:lineRule="auto"/>
        <w:ind w:left="0" w:firstLine="0"/>
        <w:jc w:val="both"/>
        <w:rPr>
          <w:rFonts w:ascii="Arial" w:eastAsia="Arial Narrow" w:hAnsi="Arial" w:cs="Arial"/>
          <w:color w:val="000000"/>
          <w:lang w:eastAsia="en-PH"/>
        </w:rPr>
      </w:pPr>
      <w:r w:rsidRPr="004C4F6D">
        <w:rPr>
          <w:rFonts w:ascii="Arial" w:eastAsia="Arial Narrow" w:hAnsi="Arial" w:cs="Arial"/>
          <w:color w:val="000000"/>
          <w:lang w:eastAsia="en-PH"/>
        </w:rPr>
        <w:t xml:space="preserve">BBSD has been consistently upgrading the bank’s RARS version as recommended and provided by their ATM vendors and there was already a system enhancement on RARS implemented as of April 2023, thus, the performance of RARS is expected to be </w:t>
      </w:r>
      <w:r w:rsidRPr="004C4F6D">
        <w:rPr>
          <w:rFonts w:ascii="Arial" w:eastAsia="Arial Narrow" w:hAnsi="Arial" w:cs="Arial"/>
          <w:color w:val="000000"/>
          <w:lang w:eastAsia="en-PH"/>
        </w:rPr>
        <w:lastRenderedPageBreak/>
        <w:t>maximized and the pulling of reports and availability of these reports to LARS will be more feasible.</w:t>
      </w:r>
    </w:p>
    <w:p w14:paraId="132DF6DA" w14:textId="4A95C40A" w:rsidR="006E3D1D" w:rsidRDefault="006E3D1D" w:rsidP="006E3D1D">
      <w:pPr>
        <w:spacing w:after="0" w:line="240" w:lineRule="auto"/>
        <w:jc w:val="both"/>
        <w:rPr>
          <w:rFonts w:ascii="Arial" w:eastAsia="Arial Narrow" w:hAnsi="Arial" w:cs="Arial"/>
          <w:color w:val="000000"/>
          <w:lang w:eastAsia="en-PH"/>
        </w:rPr>
      </w:pPr>
    </w:p>
    <w:p w14:paraId="6E8E9F61" w14:textId="77777777" w:rsidR="006E3D1D" w:rsidRPr="006E3D1D" w:rsidRDefault="006E3D1D" w:rsidP="006E3D1D">
      <w:pPr>
        <w:spacing w:after="0" w:line="240" w:lineRule="auto"/>
        <w:jc w:val="both"/>
        <w:rPr>
          <w:rFonts w:ascii="Arial" w:eastAsia="Arial Narrow" w:hAnsi="Arial" w:cs="Arial"/>
          <w:color w:val="000000"/>
          <w:lang w:eastAsia="en-PH"/>
        </w:rPr>
      </w:pPr>
    </w:p>
    <w:p w14:paraId="33A45FF8" w14:textId="603702F7" w:rsidR="00312FC6" w:rsidRPr="004C4F6D" w:rsidRDefault="003919DE" w:rsidP="004C4F6D">
      <w:pPr>
        <w:numPr>
          <w:ilvl w:val="0"/>
          <w:numId w:val="35"/>
        </w:numPr>
        <w:spacing w:after="0" w:line="240" w:lineRule="auto"/>
        <w:ind w:left="0" w:firstLine="0"/>
        <w:jc w:val="both"/>
        <w:rPr>
          <w:rFonts w:ascii="Arial" w:eastAsia="Arial Narrow" w:hAnsi="Arial" w:cs="Arial"/>
          <w:color w:val="000000"/>
        </w:rPr>
      </w:pPr>
      <w:r w:rsidRPr="004C4F6D">
        <w:rPr>
          <w:rFonts w:ascii="Arial" w:eastAsia="Arial Narrow" w:hAnsi="Arial" w:cs="Arial"/>
          <w:b/>
          <w:color w:val="000000"/>
        </w:rPr>
        <w:t xml:space="preserve">The Bank’s GAD Agenda 2022-2025 was not completed/finalized, still subject to calibrations; GAD Plan and Budget (GPB) and GAD Accomplishment Report (AR) for FY 2022 </w:t>
      </w:r>
      <w:r w:rsidR="002C4067" w:rsidRPr="004C4F6D">
        <w:rPr>
          <w:rFonts w:ascii="Arial" w:eastAsia="Arial Narrow" w:hAnsi="Arial" w:cs="Arial"/>
          <w:b/>
          <w:color w:val="000000"/>
        </w:rPr>
        <w:t xml:space="preserve">were submitted, however, </w:t>
      </w:r>
      <w:r w:rsidRPr="004C4F6D">
        <w:rPr>
          <w:rFonts w:ascii="Arial" w:eastAsia="Arial Narrow" w:hAnsi="Arial" w:cs="Arial"/>
          <w:b/>
          <w:color w:val="000000"/>
        </w:rPr>
        <w:t xml:space="preserve">pending review and endorsement by the Philippine Commission on Women (PCW); and, GAD budget was underutilized, contrary to PCW NEDA DBM Joint Memorandum No. 2012-01. </w:t>
      </w:r>
    </w:p>
    <w:p w14:paraId="440269DC" w14:textId="77777777" w:rsidR="00312FC6" w:rsidRPr="004C4F6D" w:rsidRDefault="00312FC6" w:rsidP="004C4F6D">
      <w:pPr>
        <w:pStyle w:val="ListParagraph"/>
        <w:spacing w:after="0" w:line="240" w:lineRule="auto"/>
        <w:ind w:left="0" w:right="133"/>
        <w:jc w:val="both"/>
        <w:rPr>
          <w:rFonts w:ascii="Arial" w:eastAsia="Arial Narrow" w:hAnsi="Arial" w:cs="Arial"/>
          <w:color w:val="000000"/>
        </w:rPr>
      </w:pPr>
    </w:p>
    <w:p w14:paraId="29B58318" w14:textId="77777777" w:rsidR="004C4FAF" w:rsidRPr="004C4F6D" w:rsidRDefault="004C4FAF" w:rsidP="004C4F6D">
      <w:pPr>
        <w:pStyle w:val="ListParagraph"/>
        <w:numPr>
          <w:ilvl w:val="0"/>
          <w:numId w:val="42"/>
        </w:numPr>
        <w:spacing w:after="0" w:line="240" w:lineRule="auto"/>
        <w:jc w:val="both"/>
        <w:rPr>
          <w:rFonts w:ascii="Arial" w:eastAsia="Arial Narrow" w:hAnsi="Arial" w:cs="Arial"/>
          <w:vanish/>
        </w:rPr>
      </w:pPr>
    </w:p>
    <w:p w14:paraId="2BA402AD" w14:textId="22810EAA"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rPr>
        <w:t>PCW-NEDA-DBM Joint Memorandum Circular (JMC) No. 2012</w:t>
      </w:r>
      <w:r w:rsidR="002B70D3">
        <w:rPr>
          <w:rFonts w:ascii="Arial" w:eastAsia="Arial Narrow" w:hAnsi="Arial" w:cs="Arial"/>
        </w:rPr>
        <w:t xml:space="preserve"> </w:t>
      </w:r>
      <w:r w:rsidRPr="004C4F6D">
        <w:rPr>
          <w:rFonts w:ascii="Arial" w:eastAsia="Arial Narrow" w:hAnsi="Arial" w:cs="Arial"/>
        </w:rPr>
        <w:t>01 on Guidelines for the Preparation of Annual Gender and Development (GAD) Plans and Budgets and Accomplishment Reports to Implement the Magna Carta of Women provides:</w:t>
      </w:r>
    </w:p>
    <w:p w14:paraId="4E0773F3" w14:textId="77777777" w:rsidR="00312FC6" w:rsidRPr="004C4F6D" w:rsidRDefault="00312FC6" w:rsidP="004C4F6D">
      <w:pPr>
        <w:pStyle w:val="ListParagraph"/>
        <w:spacing w:after="0" w:line="240" w:lineRule="auto"/>
        <w:ind w:left="0"/>
        <w:jc w:val="both"/>
        <w:rPr>
          <w:rFonts w:ascii="Arial" w:eastAsia="Arial Narrow" w:hAnsi="Arial" w:cs="Arial"/>
        </w:rPr>
      </w:pPr>
    </w:p>
    <w:p w14:paraId="0EF80799" w14:textId="77777777" w:rsidR="00312FC6" w:rsidRPr="004C4F6D" w:rsidRDefault="003919DE" w:rsidP="004C4F6D">
      <w:pPr>
        <w:spacing w:after="0" w:line="240" w:lineRule="auto"/>
        <w:ind w:left="709" w:right="716"/>
        <w:jc w:val="both"/>
        <w:rPr>
          <w:rFonts w:ascii="Arial" w:eastAsia="Arial Narrow" w:hAnsi="Arial" w:cs="Arial"/>
          <w:i/>
          <w:color w:val="000000"/>
        </w:rPr>
      </w:pPr>
      <w:r w:rsidRPr="004C4F6D">
        <w:rPr>
          <w:rFonts w:ascii="Arial" w:eastAsia="Arial Narrow" w:hAnsi="Arial" w:cs="Arial"/>
          <w:i/>
          <w:color w:val="000000"/>
        </w:rPr>
        <w:t>5.1 Set the GAD agenda or identify priority gender issues and/or specific GAD mandates and targets to be addressed over a one year or three-year term by the</w:t>
      </w:r>
      <w:r w:rsidRPr="004C4F6D">
        <w:rPr>
          <w:rFonts w:ascii="Arial" w:eastAsia="Arial Narrow" w:hAnsi="Arial" w:cs="Arial"/>
          <w:color w:val="000000"/>
        </w:rPr>
        <w:t xml:space="preserve"> </w:t>
      </w:r>
      <w:r w:rsidRPr="004C4F6D">
        <w:rPr>
          <w:rFonts w:ascii="Arial" w:eastAsia="Arial Narrow" w:hAnsi="Arial" w:cs="Arial"/>
          <w:i/>
          <w:color w:val="000000"/>
        </w:rPr>
        <w:t>central office in consultation with regional offices, bureaus and attached agencies. This GAD agenda shall be the basis for the annual formulation of PAPs to be included in the GPB of the department and its attached agencies, bureaus, regional offices and units.</w:t>
      </w:r>
    </w:p>
    <w:p w14:paraId="5C4835A6" w14:textId="77777777" w:rsidR="00312FC6" w:rsidRPr="004C4F6D" w:rsidRDefault="00312FC6" w:rsidP="004C4F6D">
      <w:pPr>
        <w:spacing w:after="0" w:line="240" w:lineRule="auto"/>
        <w:ind w:left="709"/>
        <w:jc w:val="both"/>
        <w:rPr>
          <w:rFonts w:ascii="Arial" w:eastAsia="Arial Narrow" w:hAnsi="Arial" w:cs="Arial"/>
          <w:color w:val="000000"/>
        </w:rPr>
      </w:pPr>
    </w:p>
    <w:p w14:paraId="593EFC91" w14:textId="77777777" w:rsidR="00312FC6" w:rsidRPr="004C4F6D" w:rsidRDefault="003919DE" w:rsidP="004C4F6D">
      <w:pPr>
        <w:spacing w:after="0" w:line="240" w:lineRule="auto"/>
        <w:ind w:left="709" w:right="133"/>
        <w:jc w:val="both"/>
        <w:rPr>
          <w:rFonts w:ascii="Arial" w:eastAsia="Arial Narrow" w:hAnsi="Arial" w:cs="Arial"/>
          <w:i/>
          <w:color w:val="000000"/>
        </w:rPr>
      </w:pPr>
      <w:r w:rsidRPr="004C4F6D">
        <w:rPr>
          <w:rFonts w:ascii="Arial" w:eastAsia="Arial Narrow" w:hAnsi="Arial" w:cs="Arial"/>
          <w:i/>
          <w:color w:val="000000"/>
        </w:rPr>
        <w:t>X x x</w:t>
      </w:r>
    </w:p>
    <w:p w14:paraId="606C29A8" w14:textId="77777777" w:rsidR="00312FC6" w:rsidRPr="004C4F6D" w:rsidRDefault="00312FC6" w:rsidP="004C4F6D">
      <w:pPr>
        <w:spacing w:after="0" w:line="240" w:lineRule="auto"/>
        <w:ind w:left="709" w:right="133"/>
        <w:jc w:val="both"/>
        <w:rPr>
          <w:rFonts w:ascii="Arial" w:eastAsia="Arial Narrow" w:hAnsi="Arial" w:cs="Arial"/>
          <w:color w:val="000000"/>
        </w:rPr>
      </w:pPr>
    </w:p>
    <w:p w14:paraId="3086E9D9" w14:textId="77777777" w:rsidR="00312FC6" w:rsidRPr="004C4F6D" w:rsidRDefault="003919DE" w:rsidP="004C4F6D">
      <w:pPr>
        <w:tabs>
          <w:tab w:val="left" w:pos="7797"/>
        </w:tabs>
        <w:spacing w:after="0" w:line="240" w:lineRule="auto"/>
        <w:ind w:left="709" w:right="716"/>
        <w:jc w:val="both"/>
        <w:rPr>
          <w:rFonts w:ascii="Arial" w:eastAsia="Arial Narrow" w:hAnsi="Arial" w:cs="Arial"/>
          <w:i/>
          <w:color w:val="000000"/>
        </w:rPr>
      </w:pPr>
      <w:r w:rsidRPr="004C4F6D">
        <w:rPr>
          <w:rFonts w:ascii="Arial" w:eastAsia="Arial Narrow" w:hAnsi="Arial" w:cs="Arial"/>
          <w:i/>
          <w:color w:val="000000"/>
        </w:rPr>
        <w:t>6.1 At least five percent (5%) of the total agency budget appropriations authorized under the annual GAA shall correspond to activities supporting GAD plans and programs. The GAD budget shall be drawn from the agency’s maintenance and other operating expenses (MOOE), capital outlay (CO), and personal services (PS). It is understood that the GAD budget does not constitute an additional budget over an agency’s total budget appropriations.</w:t>
      </w:r>
    </w:p>
    <w:p w14:paraId="42C5FF2D" w14:textId="77777777" w:rsidR="00312FC6" w:rsidRPr="004C4F6D" w:rsidRDefault="00312FC6" w:rsidP="004C4F6D">
      <w:pPr>
        <w:spacing w:after="0" w:line="240" w:lineRule="auto"/>
        <w:ind w:left="709"/>
        <w:jc w:val="both"/>
        <w:rPr>
          <w:rFonts w:ascii="Arial" w:eastAsia="Arial Narrow" w:hAnsi="Arial" w:cs="Arial"/>
          <w:color w:val="000000"/>
        </w:rPr>
      </w:pPr>
    </w:p>
    <w:p w14:paraId="40DB36EB" w14:textId="77777777" w:rsidR="00312FC6" w:rsidRPr="004C4F6D" w:rsidRDefault="003919DE" w:rsidP="004C4F6D">
      <w:pPr>
        <w:spacing w:after="0" w:line="240" w:lineRule="auto"/>
        <w:ind w:left="709" w:right="133"/>
        <w:jc w:val="both"/>
        <w:rPr>
          <w:rFonts w:ascii="Arial" w:eastAsia="Arial Narrow" w:hAnsi="Arial" w:cs="Arial"/>
          <w:i/>
          <w:color w:val="000000"/>
        </w:rPr>
      </w:pPr>
      <w:r w:rsidRPr="004C4F6D">
        <w:rPr>
          <w:rFonts w:ascii="Arial" w:eastAsia="Arial Narrow" w:hAnsi="Arial" w:cs="Arial"/>
          <w:i/>
          <w:color w:val="000000"/>
        </w:rPr>
        <w:t>X x x</w:t>
      </w:r>
    </w:p>
    <w:p w14:paraId="34D6997B" w14:textId="77777777" w:rsidR="00312FC6" w:rsidRPr="004C4F6D" w:rsidRDefault="00312FC6" w:rsidP="004C4F6D">
      <w:pPr>
        <w:spacing w:after="0" w:line="240" w:lineRule="auto"/>
        <w:ind w:left="709" w:right="133"/>
        <w:jc w:val="both"/>
        <w:rPr>
          <w:rFonts w:ascii="Arial" w:eastAsia="Arial Narrow" w:hAnsi="Arial" w:cs="Arial"/>
          <w:color w:val="000000"/>
        </w:rPr>
      </w:pPr>
    </w:p>
    <w:p w14:paraId="27CAE1CC" w14:textId="77777777" w:rsidR="00312FC6" w:rsidRPr="004C4F6D" w:rsidRDefault="003919DE" w:rsidP="004C4F6D">
      <w:pPr>
        <w:spacing w:after="0" w:line="240" w:lineRule="auto"/>
        <w:ind w:left="709" w:right="716"/>
        <w:jc w:val="both"/>
        <w:rPr>
          <w:rFonts w:ascii="Arial" w:eastAsia="Arial Narrow" w:hAnsi="Arial" w:cs="Arial"/>
          <w:i/>
          <w:color w:val="000000"/>
        </w:rPr>
      </w:pPr>
      <w:r w:rsidRPr="004C4F6D">
        <w:rPr>
          <w:rFonts w:ascii="Arial" w:eastAsia="Arial Narrow" w:hAnsi="Arial" w:cs="Arial"/>
          <w:i/>
          <w:color w:val="000000"/>
        </w:rPr>
        <w:t>8.2 The GFPS of the agency shall review all submitted GPBs and as needed, provide comments or recommendations for revision. Agency review of GPBs shall focus on the alignment of the GAD plan with the GAD agenda and the correctness and alignment of the entries in each column of the GPB template, e.g. if the proposed activities respond to the identified gender issue or cause of the issue, the issues are correctly identified or formulated, if there are clear indicators and targets, if the proposed budget is realistic, if the number of proposed activities are doable within the year, among others. The GFPS shall then submit the final GPBs and the corresponding GAD ARs to PCW for review and endorsement to DBM.</w:t>
      </w:r>
    </w:p>
    <w:p w14:paraId="2D4507FB" w14:textId="77777777" w:rsidR="00312FC6" w:rsidRPr="004C4F6D" w:rsidRDefault="00312FC6" w:rsidP="004C4F6D">
      <w:pPr>
        <w:spacing w:after="0" w:line="240" w:lineRule="auto"/>
        <w:ind w:left="709"/>
        <w:jc w:val="both"/>
        <w:rPr>
          <w:rFonts w:ascii="Arial" w:eastAsia="Arial Narrow" w:hAnsi="Arial" w:cs="Arial"/>
          <w:color w:val="000000"/>
        </w:rPr>
      </w:pPr>
    </w:p>
    <w:p w14:paraId="4C4FFCDA" w14:textId="77777777" w:rsidR="00312FC6" w:rsidRPr="004C4F6D" w:rsidRDefault="003919DE" w:rsidP="004C4F6D">
      <w:pPr>
        <w:spacing w:after="0" w:line="240" w:lineRule="auto"/>
        <w:ind w:left="709" w:right="133"/>
        <w:jc w:val="both"/>
        <w:rPr>
          <w:rFonts w:ascii="Arial" w:eastAsia="Arial Narrow" w:hAnsi="Arial" w:cs="Arial"/>
          <w:i/>
          <w:color w:val="000000"/>
        </w:rPr>
      </w:pPr>
      <w:r w:rsidRPr="004C4F6D">
        <w:rPr>
          <w:rFonts w:ascii="Arial" w:eastAsia="Arial Narrow" w:hAnsi="Arial" w:cs="Arial"/>
          <w:i/>
          <w:color w:val="000000"/>
        </w:rPr>
        <w:t>The agency submission to PCW shall include:</w:t>
      </w:r>
    </w:p>
    <w:p w14:paraId="33A41AC7" w14:textId="77777777" w:rsidR="00312FC6" w:rsidRPr="004C4F6D" w:rsidRDefault="00312FC6" w:rsidP="004C4F6D">
      <w:pPr>
        <w:spacing w:after="0" w:line="240" w:lineRule="auto"/>
        <w:ind w:left="709" w:right="133"/>
        <w:jc w:val="both"/>
        <w:rPr>
          <w:rFonts w:ascii="Arial" w:eastAsia="Arial Narrow" w:hAnsi="Arial" w:cs="Arial"/>
          <w:color w:val="000000"/>
        </w:rPr>
      </w:pPr>
    </w:p>
    <w:p w14:paraId="39A40721" w14:textId="77777777" w:rsidR="00312FC6" w:rsidRPr="004C4F6D" w:rsidRDefault="003919DE" w:rsidP="004C4F6D">
      <w:pPr>
        <w:spacing w:after="0" w:line="240" w:lineRule="auto"/>
        <w:ind w:left="709" w:right="716"/>
        <w:jc w:val="both"/>
        <w:rPr>
          <w:rFonts w:ascii="Arial" w:eastAsia="Arial Narrow" w:hAnsi="Arial" w:cs="Arial"/>
          <w:i/>
          <w:color w:val="000000"/>
        </w:rPr>
      </w:pPr>
      <w:r w:rsidRPr="004C4F6D">
        <w:rPr>
          <w:rFonts w:ascii="Arial" w:eastAsia="Arial Narrow" w:hAnsi="Arial" w:cs="Arial"/>
          <w:i/>
          <w:color w:val="000000"/>
        </w:rPr>
        <w:t>8.2.1 A letter signed by the head of agency informing the PCW that the GFPS of the agency has accordingly reviewed the GPBs and GAD ARs;</w:t>
      </w:r>
    </w:p>
    <w:p w14:paraId="64B257B9" w14:textId="77777777" w:rsidR="00312FC6" w:rsidRPr="004C4F6D" w:rsidRDefault="00312FC6" w:rsidP="004C4F6D">
      <w:pPr>
        <w:spacing w:after="0" w:line="240" w:lineRule="auto"/>
        <w:ind w:left="709"/>
        <w:jc w:val="both"/>
        <w:rPr>
          <w:rFonts w:ascii="Arial" w:eastAsia="Arial Narrow" w:hAnsi="Arial" w:cs="Arial"/>
          <w:color w:val="000000"/>
        </w:rPr>
      </w:pPr>
    </w:p>
    <w:p w14:paraId="28DC5323" w14:textId="77777777" w:rsidR="00312FC6" w:rsidRPr="004C4F6D" w:rsidRDefault="003919DE" w:rsidP="004C4F6D">
      <w:pPr>
        <w:spacing w:after="0" w:line="240" w:lineRule="auto"/>
        <w:ind w:left="709" w:right="133"/>
        <w:jc w:val="both"/>
        <w:rPr>
          <w:rFonts w:ascii="Arial" w:eastAsia="Arial Narrow" w:hAnsi="Arial" w:cs="Arial"/>
          <w:i/>
          <w:color w:val="000000"/>
        </w:rPr>
      </w:pPr>
      <w:r w:rsidRPr="004C4F6D">
        <w:rPr>
          <w:rFonts w:ascii="Arial" w:eastAsia="Arial Narrow" w:hAnsi="Arial" w:cs="Arial"/>
          <w:i/>
          <w:color w:val="000000"/>
        </w:rPr>
        <w:t>X x x</w:t>
      </w:r>
    </w:p>
    <w:p w14:paraId="276E3404" w14:textId="77777777" w:rsidR="00312FC6" w:rsidRPr="004C4F6D" w:rsidRDefault="00312FC6" w:rsidP="004C4F6D">
      <w:pPr>
        <w:spacing w:after="0" w:line="240" w:lineRule="auto"/>
        <w:ind w:left="709" w:right="133"/>
        <w:jc w:val="both"/>
        <w:rPr>
          <w:rFonts w:ascii="Arial" w:eastAsia="Arial Narrow" w:hAnsi="Arial" w:cs="Arial"/>
          <w:color w:val="000000"/>
        </w:rPr>
      </w:pPr>
    </w:p>
    <w:p w14:paraId="49CE502C" w14:textId="77777777" w:rsidR="00312FC6" w:rsidRPr="004C4F6D" w:rsidRDefault="003919DE" w:rsidP="004C4F6D">
      <w:pPr>
        <w:spacing w:after="0" w:line="240" w:lineRule="auto"/>
        <w:ind w:left="709" w:right="716"/>
        <w:jc w:val="both"/>
        <w:rPr>
          <w:rFonts w:ascii="Arial" w:eastAsia="Arial Narrow" w:hAnsi="Arial" w:cs="Arial"/>
          <w:i/>
          <w:color w:val="000000"/>
        </w:rPr>
      </w:pPr>
      <w:r w:rsidRPr="004C4F6D">
        <w:rPr>
          <w:rFonts w:ascii="Arial" w:eastAsia="Arial Narrow" w:hAnsi="Arial" w:cs="Arial"/>
          <w:i/>
          <w:color w:val="000000"/>
        </w:rPr>
        <w:lastRenderedPageBreak/>
        <w:t>9.2 Agencies shall inform the PCW in writing if there are changes in the PCW --endorsed GPBs as a result of revising the GPB based on the approved GAA and or the need to implement additional PAPs relevant to current gender issues or GAD--related undertakings as needed. PCW, in turn, shall acknowledge receipt of adjusted GPB and shall inform the agencies if the GAD PAPs or activities in the adjusted GPB are acceptable.</w:t>
      </w:r>
    </w:p>
    <w:p w14:paraId="0AE69635" w14:textId="77777777" w:rsidR="00312FC6" w:rsidRPr="004C4F6D" w:rsidRDefault="00312FC6" w:rsidP="004C4F6D">
      <w:pPr>
        <w:spacing w:after="0" w:line="240" w:lineRule="auto"/>
        <w:ind w:left="709"/>
        <w:jc w:val="both"/>
        <w:rPr>
          <w:rFonts w:ascii="Arial" w:eastAsia="Arial Narrow" w:hAnsi="Arial" w:cs="Arial"/>
          <w:color w:val="000000"/>
        </w:rPr>
      </w:pPr>
    </w:p>
    <w:p w14:paraId="4B1D2A26" w14:textId="77777777" w:rsidR="00312FC6" w:rsidRPr="004C4F6D" w:rsidRDefault="003919DE" w:rsidP="004C4F6D">
      <w:pPr>
        <w:spacing w:after="0" w:line="240" w:lineRule="auto"/>
        <w:ind w:left="709" w:right="133"/>
        <w:jc w:val="both"/>
        <w:rPr>
          <w:rFonts w:ascii="Arial" w:eastAsia="Arial Narrow" w:hAnsi="Arial" w:cs="Arial"/>
          <w:i/>
          <w:color w:val="000000"/>
        </w:rPr>
      </w:pPr>
      <w:r w:rsidRPr="004C4F6D">
        <w:rPr>
          <w:rFonts w:ascii="Arial" w:eastAsia="Arial Narrow" w:hAnsi="Arial" w:cs="Arial"/>
          <w:i/>
          <w:color w:val="000000"/>
        </w:rPr>
        <w:t>X x x</w:t>
      </w:r>
    </w:p>
    <w:p w14:paraId="38E6C4CE" w14:textId="77777777" w:rsidR="00312FC6" w:rsidRPr="004C4F6D" w:rsidRDefault="00312FC6" w:rsidP="004C4F6D">
      <w:pPr>
        <w:spacing w:after="0" w:line="240" w:lineRule="auto"/>
        <w:ind w:left="709" w:right="133"/>
        <w:jc w:val="both"/>
        <w:rPr>
          <w:rFonts w:ascii="Arial" w:eastAsia="Arial Narrow" w:hAnsi="Arial" w:cs="Arial"/>
          <w:color w:val="000000"/>
        </w:rPr>
      </w:pPr>
    </w:p>
    <w:p w14:paraId="0818D3E1" w14:textId="77777777" w:rsidR="00312FC6" w:rsidRPr="004C4F6D" w:rsidRDefault="003919DE" w:rsidP="004C4F6D">
      <w:pPr>
        <w:spacing w:after="0" w:line="240" w:lineRule="auto"/>
        <w:ind w:left="709" w:right="716"/>
        <w:jc w:val="both"/>
        <w:rPr>
          <w:rFonts w:ascii="Arial" w:eastAsia="Arial Narrow" w:hAnsi="Arial" w:cs="Arial"/>
          <w:color w:val="000000"/>
        </w:rPr>
      </w:pPr>
      <w:r w:rsidRPr="004C4F6D">
        <w:rPr>
          <w:rFonts w:ascii="Arial" w:eastAsia="Arial Narrow" w:hAnsi="Arial" w:cs="Arial"/>
          <w:i/>
          <w:color w:val="000000"/>
        </w:rPr>
        <w:t>10.1 Attached agencies, bureaus, regional offices, constituent units and all others concerned shall submit their GAD ARs to their central offices. The agency GFPS shall prepare the annual GAD AR based on the PCW--endorsed GPB or the GPB adjusted to the approved GAA following the form prescribed in Annex B. X x x.</w:t>
      </w:r>
    </w:p>
    <w:p w14:paraId="792A2FE5" w14:textId="77777777" w:rsidR="00312FC6" w:rsidRPr="004C4F6D" w:rsidRDefault="00312FC6" w:rsidP="004C4F6D">
      <w:pPr>
        <w:spacing w:after="0" w:line="240" w:lineRule="auto"/>
        <w:ind w:right="133"/>
        <w:jc w:val="both"/>
        <w:rPr>
          <w:rFonts w:ascii="Arial" w:eastAsia="Arial Narrow" w:hAnsi="Arial" w:cs="Arial"/>
          <w:color w:val="000000"/>
        </w:rPr>
      </w:pPr>
    </w:p>
    <w:p w14:paraId="627C4FDD" w14:textId="2BB00BA8"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iCs/>
        </w:rPr>
      </w:pPr>
      <w:r w:rsidRPr="004C4F6D">
        <w:rPr>
          <w:rFonts w:ascii="Arial" w:eastAsia="Arial Narrow" w:hAnsi="Arial" w:cs="Arial"/>
        </w:rPr>
        <w:t>In addition, P</w:t>
      </w:r>
      <w:r w:rsidR="007C596C">
        <w:rPr>
          <w:rFonts w:ascii="Arial" w:eastAsia="Arial Narrow" w:hAnsi="Arial" w:cs="Arial"/>
        </w:rPr>
        <w:t>CW Memorandum Circular No. 2011-</w:t>
      </w:r>
      <w:r w:rsidRPr="004C4F6D">
        <w:rPr>
          <w:rFonts w:ascii="Arial" w:eastAsia="Arial Narrow" w:hAnsi="Arial" w:cs="Arial"/>
        </w:rPr>
        <w:t xml:space="preserve">01 dated October 21, 2011 states: under </w:t>
      </w:r>
      <w:r w:rsidRPr="004C4F6D">
        <w:rPr>
          <w:rFonts w:ascii="Arial" w:eastAsia="Arial Narrow" w:hAnsi="Arial" w:cs="Arial"/>
          <w:i/>
          <w:color w:val="000000"/>
        </w:rPr>
        <w:t xml:space="preserve">5.3 Roles and Responsibilities, </w:t>
      </w:r>
      <w:r w:rsidRPr="004C4F6D">
        <w:rPr>
          <w:rFonts w:ascii="Arial" w:eastAsia="Arial Narrow" w:hAnsi="Arial" w:cs="Arial"/>
          <w:iCs/>
          <w:color w:val="000000"/>
        </w:rPr>
        <w:t>that</w:t>
      </w:r>
      <w:r w:rsidRPr="004C4F6D">
        <w:rPr>
          <w:rFonts w:ascii="Arial" w:eastAsia="Arial Narrow" w:hAnsi="Arial" w:cs="Arial"/>
          <w:i/>
          <w:color w:val="000000"/>
        </w:rPr>
        <w:t xml:space="preserve"> </w:t>
      </w:r>
      <w:r w:rsidRPr="004C4F6D">
        <w:rPr>
          <w:rFonts w:ascii="Arial" w:eastAsia="Arial Narrow" w:hAnsi="Arial" w:cs="Arial"/>
          <w:iCs/>
          <w:color w:val="000000"/>
        </w:rPr>
        <w:t xml:space="preserve">the </w:t>
      </w:r>
      <w:r w:rsidRPr="004C4F6D">
        <w:rPr>
          <w:rFonts w:ascii="Arial" w:eastAsia="Arial Narrow" w:hAnsi="Arial" w:cs="Arial"/>
          <w:i/>
          <w:color w:val="000000"/>
        </w:rPr>
        <w:t>Executive Committee shall xxx Recommend approval of agency GAD Plans and Budgets and GAD ARs; x x x.</w:t>
      </w:r>
    </w:p>
    <w:p w14:paraId="4D6D9845" w14:textId="77777777" w:rsidR="00085BCE" w:rsidRPr="004C4F6D" w:rsidRDefault="00085BCE" w:rsidP="004C4F6D">
      <w:pPr>
        <w:pStyle w:val="ListParagraph"/>
        <w:spacing w:after="0" w:line="240" w:lineRule="auto"/>
        <w:ind w:left="0"/>
        <w:jc w:val="both"/>
        <w:rPr>
          <w:rFonts w:ascii="Arial" w:eastAsia="Arial Narrow" w:hAnsi="Arial" w:cs="Arial"/>
          <w:iCs/>
        </w:rPr>
      </w:pPr>
    </w:p>
    <w:p w14:paraId="589E7B01" w14:textId="51B537A5"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iCs/>
        </w:rPr>
      </w:pPr>
      <w:r w:rsidRPr="004C4F6D">
        <w:rPr>
          <w:rFonts w:ascii="Arial" w:eastAsia="Arial Narrow" w:hAnsi="Arial" w:cs="Arial"/>
        </w:rPr>
        <w:t xml:space="preserve">In line with PCW Memorandum Circular No. 2011-01, the Bank adopted in the LBP Special Order No. 0225 dated February 19, 2019, </w:t>
      </w:r>
      <w:r w:rsidR="0032038E" w:rsidRPr="004C4F6D">
        <w:rPr>
          <w:rFonts w:ascii="Arial" w:eastAsia="Arial Narrow" w:hAnsi="Arial" w:cs="Arial"/>
        </w:rPr>
        <w:t xml:space="preserve">on </w:t>
      </w:r>
      <w:r w:rsidRPr="004C4F6D">
        <w:rPr>
          <w:rFonts w:ascii="Arial" w:eastAsia="Arial Narrow" w:hAnsi="Arial" w:cs="Arial"/>
        </w:rPr>
        <w:t>the functions and responsibilities of the Executive Committee.</w:t>
      </w:r>
    </w:p>
    <w:p w14:paraId="52E1ABE8" w14:textId="77777777" w:rsidR="00312FC6" w:rsidRPr="004C4F6D" w:rsidRDefault="00312FC6" w:rsidP="004C4F6D">
      <w:pPr>
        <w:pStyle w:val="ListParagraph"/>
        <w:rPr>
          <w:rFonts w:ascii="Arial" w:eastAsia="Arial Narrow" w:hAnsi="Arial" w:cs="Arial"/>
          <w:color w:val="000000"/>
        </w:rPr>
      </w:pPr>
    </w:p>
    <w:p w14:paraId="4F124D83" w14:textId="6478D856"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F</w:t>
      </w:r>
      <w:r w:rsidRPr="004C4F6D">
        <w:rPr>
          <w:rFonts w:ascii="Arial" w:eastAsia="Arial Narrow" w:hAnsi="Arial" w:cs="Arial"/>
        </w:rPr>
        <w:t>urther</w:t>
      </w:r>
      <w:r w:rsidRPr="004C4F6D">
        <w:rPr>
          <w:rFonts w:ascii="Arial" w:eastAsia="Arial Narrow" w:hAnsi="Arial" w:cs="Arial"/>
          <w:color w:val="000000"/>
        </w:rPr>
        <w:t>, P</w:t>
      </w:r>
      <w:r w:rsidR="007C596C">
        <w:rPr>
          <w:rFonts w:ascii="Arial" w:eastAsia="Arial Narrow" w:hAnsi="Arial" w:cs="Arial"/>
          <w:color w:val="000000"/>
        </w:rPr>
        <w:t>CW Memorandum Circular No. 2021</w:t>
      </w:r>
      <w:r w:rsidRPr="004C4F6D">
        <w:rPr>
          <w:rFonts w:ascii="Arial" w:eastAsia="Arial Narrow" w:hAnsi="Arial" w:cs="Arial"/>
          <w:color w:val="000000"/>
        </w:rPr>
        <w:t xml:space="preserve">-04 dated August 24, 2021 set </w:t>
      </w:r>
      <w:r w:rsidR="002C4067" w:rsidRPr="004C4F6D">
        <w:rPr>
          <w:rFonts w:ascii="Arial" w:eastAsia="Arial Narrow" w:hAnsi="Arial" w:cs="Arial"/>
          <w:color w:val="000000"/>
        </w:rPr>
        <w:t xml:space="preserve">deadline of </w:t>
      </w:r>
      <w:r w:rsidRPr="004C4F6D">
        <w:rPr>
          <w:rFonts w:ascii="Arial" w:eastAsia="Arial Narrow" w:hAnsi="Arial" w:cs="Arial"/>
          <w:color w:val="000000"/>
        </w:rPr>
        <w:t>submission on 15 November 2021 for encoding and submission to PCW of FY 2022 GPBs of GOCCs through the GMMSGPB Submission through the GMMS Version.</w:t>
      </w:r>
    </w:p>
    <w:p w14:paraId="6066BE89" w14:textId="77777777" w:rsidR="007C4947" w:rsidRPr="004C4F6D" w:rsidRDefault="007C4947" w:rsidP="004C4F6D">
      <w:pPr>
        <w:pStyle w:val="NoSpacing"/>
      </w:pPr>
    </w:p>
    <w:p w14:paraId="0C347EB3" w14:textId="250F54FF"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iCs/>
        </w:rPr>
      </w:pPr>
      <w:r w:rsidRPr="004C4F6D">
        <w:rPr>
          <w:rFonts w:ascii="Arial" w:eastAsia="Arial Narrow" w:hAnsi="Arial" w:cs="Arial"/>
          <w:color w:val="000000"/>
        </w:rPr>
        <w:t xml:space="preserve">Review </w:t>
      </w:r>
      <w:r w:rsidR="007C21E3" w:rsidRPr="004C4F6D">
        <w:rPr>
          <w:rFonts w:ascii="Arial" w:eastAsia="Arial Narrow" w:hAnsi="Arial" w:cs="Arial"/>
          <w:color w:val="000000"/>
        </w:rPr>
        <w:t xml:space="preserve">of the Bank’s implementation of GAD </w:t>
      </w:r>
      <w:r w:rsidRPr="004C4F6D">
        <w:rPr>
          <w:rFonts w:ascii="Arial" w:eastAsia="Arial Narrow" w:hAnsi="Arial" w:cs="Arial"/>
          <w:color w:val="000000"/>
        </w:rPr>
        <w:t>disclosed that the GAD Agenda 2022-2025 was not completed/finalized, and the GAD Plan and Budget and GAD Accomplishment Report for FY 2022, though submitted and showing programs, activities</w:t>
      </w:r>
      <w:r w:rsidR="0032038E" w:rsidRPr="004C4F6D">
        <w:rPr>
          <w:rFonts w:ascii="Arial" w:eastAsia="Arial Narrow" w:hAnsi="Arial" w:cs="Arial"/>
          <w:color w:val="000000"/>
        </w:rPr>
        <w:t>,</w:t>
      </w:r>
      <w:r w:rsidRPr="004C4F6D">
        <w:rPr>
          <w:rFonts w:ascii="Arial" w:eastAsia="Arial Narrow" w:hAnsi="Arial" w:cs="Arial"/>
          <w:color w:val="000000"/>
        </w:rPr>
        <w:t xml:space="preserve"> and projects (PAPs) budgeted with more than the minimum required of at least 5% of the Corporate Operating Budget, are pending review and endorsement by the Philippine Commission on Women (PCW).</w:t>
      </w:r>
    </w:p>
    <w:p w14:paraId="29BB76B7" w14:textId="77777777" w:rsidR="007C21E3" w:rsidRPr="004C4F6D" w:rsidRDefault="007C21E3" w:rsidP="004C4F6D">
      <w:pPr>
        <w:pStyle w:val="ListParagraph"/>
        <w:rPr>
          <w:rFonts w:ascii="Arial" w:eastAsia="Arial Narrow" w:hAnsi="Arial" w:cs="Arial"/>
          <w:i/>
          <w:iCs/>
          <w:color w:val="000000"/>
          <w:u w:val="single"/>
        </w:rPr>
      </w:pPr>
    </w:p>
    <w:p w14:paraId="4F0608D9" w14:textId="132FBEE8" w:rsidR="007C21E3" w:rsidRPr="004C4F6D" w:rsidRDefault="007C21E3" w:rsidP="004C4F6D">
      <w:pPr>
        <w:pStyle w:val="ListParagraph"/>
        <w:ind w:left="0"/>
        <w:rPr>
          <w:rFonts w:ascii="Arial" w:eastAsia="Arial Narrow" w:hAnsi="Arial" w:cs="Arial"/>
          <w:b/>
          <w:bCs/>
          <w:i/>
          <w:iCs/>
          <w:color w:val="000000"/>
        </w:rPr>
      </w:pPr>
      <w:r w:rsidRPr="004C4F6D">
        <w:rPr>
          <w:rFonts w:ascii="Arial" w:eastAsia="Arial Narrow" w:hAnsi="Arial" w:cs="Arial"/>
          <w:b/>
          <w:bCs/>
          <w:i/>
          <w:iCs/>
          <w:color w:val="000000"/>
        </w:rPr>
        <w:t>GAD Agenda</w:t>
      </w:r>
    </w:p>
    <w:p w14:paraId="54ED3FEA" w14:textId="77777777" w:rsidR="00312FC6" w:rsidRPr="004C4F6D" w:rsidRDefault="00312FC6" w:rsidP="004C4F6D">
      <w:pPr>
        <w:pStyle w:val="ListParagraph"/>
        <w:rPr>
          <w:rFonts w:ascii="Arial" w:eastAsia="Arial Narrow" w:hAnsi="Arial" w:cs="Arial"/>
        </w:rPr>
      </w:pPr>
    </w:p>
    <w:p w14:paraId="2CB9D843" w14:textId="440F483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iCs/>
        </w:rPr>
      </w:pPr>
      <w:r w:rsidRPr="004C4F6D">
        <w:rPr>
          <w:rFonts w:ascii="Arial" w:eastAsia="Arial Narrow" w:hAnsi="Arial" w:cs="Arial"/>
        </w:rPr>
        <w:t>Th</w:t>
      </w:r>
      <w:r w:rsidR="0032038E" w:rsidRPr="004C4F6D">
        <w:rPr>
          <w:rFonts w:ascii="Arial" w:eastAsia="Arial Narrow" w:hAnsi="Arial" w:cs="Arial"/>
        </w:rPr>
        <w:t xml:space="preserve">e </w:t>
      </w:r>
      <w:r w:rsidRPr="004C4F6D">
        <w:rPr>
          <w:rFonts w:ascii="Arial" w:eastAsia="Arial Narrow" w:hAnsi="Arial" w:cs="Arial"/>
        </w:rPr>
        <w:t>non-completion of the GAD Agenda 2020-2025 was raised in CY 2021 audit. Management acknowledged that the Bank’s GAD Agenda 2022-2025 was not completed/finalized</w:t>
      </w:r>
      <w:r w:rsidR="0032038E" w:rsidRPr="004C4F6D">
        <w:rPr>
          <w:rFonts w:ascii="Arial" w:eastAsia="Arial Narrow" w:hAnsi="Arial" w:cs="Arial"/>
        </w:rPr>
        <w:t xml:space="preserve"> and</w:t>
      </w:r>
      <w:r w:rsidRPr="004C4F6D">
        <w:rPr>
          <w:rFonts w:ascii="Arial" w:eastAsia="Arial Narrow" w:hAnsi="Arial" w:cs="Arial"/>
        </w:rPr>
        <w:t xml:space="preserve"> still subject to calibrations. According to the Management, the GAD Agenda entails the collective participation of and contribution of pertinent information by various units of the Bank; thus, the complexity of its preparation. Such an extensive coordination </w:t>
      </w:r>
      <w:r w:rsidR="0032038E" w:rsidRPr="004C4F6D">
        <w:rPr>
          <w:rFonts w:ascii="Arial" w:eastAsia="Arial Narrow" w:hAnsi="Arial" w:cs="Arial"/>
        </w:rPr>
        <w:t>must</w:t>
      </w:r>
      <w:r w:rsidRPr="004C4F6D">
        <w:rPr>
          <w:rFonts w:ascii="Arial" w:eastAsia="Arial Narrow" w:hAnsi="Arial" w:cs="Arial"/>
        </w:rPr>
        <w:t xml:space="preserve"> be made by the GAD Technical Working Group (TWG) Secretariat to ensure that budget estimates and other significant information needed for the implementation of the GAD programs, activities and projects (PAPs) are identified. The preparation of the GAD Agenda started at the height of the COVID-19 pandemic when work priorities had to be refocused. Currently, however, coordination with various Bank units is nearing completion. In 2022, certain recalibrations had to be undertaken in view of the following: (1) a directive to align the GAD Agenda with the Bank’s newly crafted Medium Term Development Plan, and (2) the appointment of a new President and CEO in May 2023, which may lead to new directions.</w:t>
      </w:r>
    </w:p>
    <w:p w14:paraId="1684B5E8" w14:textId="0F27A1E8" w:rsidR="007C4947" w:rsidRPr="004C4F6D" w:rsidRDefault="007C4947" w:rsidP="004C4F6D">
      <w:pPr>
        <w:pStyle w:val="ListParagraph"/>
        <w:spacing w:before="240" w:after="240" w:line="240" w:lineRule="auto"/>
        <w:ind w:left="0" w:right="134"/>
        <w:jc w:val="both"/>
        <w:rPr>
          <w:rFonts w:ascii="Arial" w:eastAsia="Arial Narrow" w:hAnsi="Arial" w:cs="Arial"/>
          <w:i/>
          <w:u w:val="single"/>
        </w:rPr>
      </w:pPr>
      <w:r w:rsidRPr="004C4F6D">
        <w:rPr>
          <w:rFonts w:ascii="Arial" w:eastAsia="Arial Narrow" w:hAnsi="Arial" w:cs="Arial"/>
          <w:b/>
          <w:bCs/>
          <w:i/>
        </w:rPr>
        <w:lastRenderedPageBreak/>
        <w:t>GAD Plan and Budget (GPB) and GAD Accomplishment Report</w:t>
      </w:r>
      <w:r w:rsidR="007C21E3" w:rsidRPr="004C4F6D">
        <w:rPr>
          <w:rFonts w:ascii="Arial" w:eastAsia="Arial Narrow" w:hAnsi="Arial" w:cs="Arial"/>
          <w:b/>
          <w:bCs/>
          <w:i/>
        </w:rPr>
        <w:t xml:space="preserve"> </w:t>
      </w:r>
      <w:r w:rsidR="00DE6BD3" w:rsidRPr="004C4F6D">
        <w:rPr>
          <w:rFonts w:ascii="Arial" w:eastAsia="Arial Narrow" w:hAnsi="Arial" w:cs="Arial"/>
          <w:b/>
          <w:bCs/>
          <w:i/>
        </w:rPr>
        <w:t>(AR</w:t>
      </w:r>
      <w:r w:rsidR="00DE6BD3" w:rsidRPr="004C4F6D">
        <w:rPr>
          <w:rFonts w:ascii="Arial" w:eastAsia="Arial Narrow" w:hAnsi="Arial" w:cs="Arial"/>
          <w:i/>
          <w:u w:val="single"/>
        </w:rPr>
        <w:t>)</w:t>
      </w:r>
    </w:p>
    <w:p w14:paraId="28F2BDA9" w14:textId="77777777" w:rsidR="007C4947" w:rsidRPr="004C4F6D" w:rsidRDefault="007C4947" w:rsidP="004C4F6D">
      <w:pPr>
        <w:pStyle w:val="ListParagraph"/>
        <w:spacing w:before="240" w:after="240" w:line="240" w:lineRule="auto"/>
        <w:ind w:left="0" w:right="134"/>
        <w:jc w:val="both"/>
        <w:rPr>
          <w:rFonts w:ascii="Arial" w:eastAsia="Arial Narrow" w:hAnsi="Arial" w:cs="Arial"/>
          <w:iCs/>
        </w:rPr>
      </w:pPr>
    </w:p>
    <w:p w14:paraId="52D2E00E" w14:textId="7BF3A309"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iCs/>
        </w:rPr>
      </w:pPr>
      <w:r w:rsidRPr="004C4F6D">
        <w:rPr>
          <w:rFonts w:ascii="Arial" w:eastAsia="Arial Narrow" w:hAnsi="Arial" w:cs="Arial"/>
          <w:color w:val="000000"/>
        </w:rPr>
        <w:t xml:space="preserve">Despite the lack of a finalized/completed GAD Agenda, the Bank prepared its FY 2022 GAD </w:t>
      </w:r>
      <w:r w:rsidR="00DE6BD3" w:rsidRPr="004C4F6D">
        <w:rPr>
          <w:rFonts w:ascii="Arial" w:eastAsia="Arial Narrow" w:hAnsi="Arial" w:cs="Arial"/>
          <w:color w:val="000000"/>
        </w:rPr>
        <w:t>GPB</w:t>
      </w:r>
      <w:r w:rsidRPr="004C4F6D">
        <w:rPr>
          <w:rFonts w:ascii="Arial" w:eastAsia="Arial Narrow" w:hAnsi="Arial" w:cs="Arial"/>
          <w:color w:val="000000"/>
        </w:rPr>
        <w:t xml:space="preserve"> showing a budget of P184,826,109,288.94, or 50% of the FY 2021 DBM-approved Corporate Operating Budget (COB) of P369,584,125,000.00, submitted to PCW on November 30, 2021, fifteen days late from the deadline set for encoding and submission to PCW, as required by PC</w:t>
      </w:r>
      <w:r w:rsidR="007C596C">
        <w:rPr>
          <w:rFonts w:ascii="Arial" w:eastAsia="Arial Narrow" w:hAnsi="Arial" w:cs="Arial"/>
          <w:color w:val="000000"/>
        </w:rPr>
        <w:t>W Memorandum Circular No. 2021-</w:t>
      </w:r>
      <w:r w:rsidRPr="004C4F6D">
        <w:rPr>
          <w:rFonts w:ascii="Arial" w:eastAsia="Arial Narrow" w:hAnsi="Arial" w:cs="Arial"/>
          <w:color w:val="000000"/>
        </w:rPr>
        <w:t>04 dated August 24, 2021. The ERD informed that GPBs for years 2020 to 2023 are still pending review of PCW, as reflected in the GMMSv3.</w:t>
      </w:r>
    </w:p>
    <w:p w14:paraId="7EEA5505" w14:textId="77777777" w:rsidR="00312FC6" w:rsidRPr="004C4F6D" w:rsidRDefault="00312FC6" w:rsidP="004C4F6D">
      <w:pPr>
        <w:pStyle w:val="ListParagraph"/>
        <w:rPr>
          <w:rFonts w:ascii="Arial" w:eastAsia="Arial Narrow" w:hAnsi="Arial" w:cs="Arial"/>
          <w:color w:val="000000"/>
        </w:rPr>
      </w:pPr>
    </w:p>
    <w:p w14:paraId="7ECC9C25" w14:textId="52BA5FBB" w:rsidR="00312FC6" w:rsidRPr="004C4F6D" w:rsidRDefault="007C21E3" w:rsidP="004C4F6D">
      <w:pPr>
        <w:pStyle w:val="ListParagraph"/>
        <w:numPr>
          <w:ilvl w:val="1"/>
          <w:numId w:val="42"/>
        </w:numPr>
        <w:spacing w:after="0" w:line="240" w:lineRule="auto"/>
        <w:ind w:left="0" w:firstLine="0"/>
        <w:jc w:val="both"/>
        <w:rPr>
          <w:rFonts w:ascii="Arial" w:eastAsia="Arial Narrow" w:hAnsi="Arial" w:cs="Arial"/>
          <w:iCs/>
        </w:rPr>
      </w:pPr>
      <w:r w:rsidRPr="004C4F6D">
        <w:rPr>
          <w:rFonts w:ascii="Arial" w:eastAsia="Arial Narrow" w:hAnsi="Arial" w:cs="Arial"/>
          <w:color w:val="000000"/>
        </w:rPr>
        <w:t>I</w:t>
      </w:r>
      <w:r w:rsidR="003919DE" w:rsidRPr="004C4F6D">
        <w:rPr>
          <w:rFonts w:ascii="Arial" w:eastAsia="Arial Narrow" w:hAnsi="Arial" w:cs="Arial"/>
          <w:color w:val="000000"/>
        </w:rPr>
        <w:t>n spite of the absence of a PCW-endorsed GPB, the Bank managed to prepare its FY 2022 GAD AR and submitted it to PCW through the Gender Mainstreaming Monitoring System version 3 (GMMSv3) on March 17, 2023, within the set deadline of PCW. The ERD informed that GAD ARs for years 2020 to 2022 are still pending review of PCW, as reflected in the GMMSv3.</w:t>
      </w:r>
    </w:p>
    <w:p w14:paraId="0A8F370C" w14:textId="77777777" w:rsidR="00312FC6" w:rsidRPr="004C4F6D" w:rsidRDefault="00312FC6" w:rsidP="004C4F6D">
      <w:pPr>
        <w:pStyle w:val="ListParagraph"/>
        <w:rPr>
          <w:rFonts w:ascii="Arial" w:eastAsia="Arial Narrow" w:hAnsi="Arial" w:cs="Arial"/>
        </w:rPr>
      </w:pPr>
    </w:p>
    <w:p w14:paraId="333F87B9" w14:textId="5CF12442"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iCs/>
        </w:rPr>
      </w:pPr>
      <w:r w:rsidRPr="004C4F6D">
        <w:rPr>
          <w:rFonts w:ascii="Arial" w:eastAsia="Arial Narrow" w:hAnsi="Arial" w:cs="Arial"/>
        </w:rPr>
        <w:t>ERD acknowledged that the GAD Plan and Budget (GPB) and GAD Accomplishment Report (AR) for FY 2022 are pending review and endorsement by the PCW. However, ERD commented that this matter is beyond</w:t>
      </w:r>
      <w:r w:rsidR="002C4067" w:rsidRPr="004C4F6D">
        <w:rPr>
          <w:rFonts w:ascii="Arial" w:eastAsia="Arial Narrow" w:hAnsi="Arial" w:cs="Arial"/>
        </w:rPr>
        <w:t xml:space="preserve"> the</w:t>
      </w:r>
      <w:r w:rsidRPr="004C4F6D">
        <w:rPr>
          <w:rFonts w:ascii="Arial" w:eastAsia="Arial Narrow" w:hAnsi="Arial" w:cs="Arial"/>
        </w:rPr>
        <w:t xml:space="preserve"> </w:t>
      </w:r>
      <w:r w:rsidR="002C4067" w:rsidRPr="004C4F6D">
        <w:rPr>
          <w:rFonts w:ascii="Arial" w:eastAsia="Arial Narrow" w:hAnsi="Arial" w:cs="Arial"/>
        </w:rPr>
        <w:t xml:space="preserve">Bank’s </w:t>
      </w:r>
      <w:r w:rsidRPr="004C4F6D">
        <w:rPr>
          <w:rFonts w:ascii="Arial" w:eastAsia="Arial Narrow" w:hAnsi="Arial" w:cs="Arial"/>
        </w:rPr>
        <w:t xml:space="preserve">control. Once submitted to the Gender Mainstreaming Monitoring System or GMMS (in </w:t>
      </w:r>
      <w:r w:rsidR="002C4067" w:rsidRPr="004C4F6D">
        <w:rPr>
          <w:rFonts w:ascii="Arial" w:eastAsia="Arial Narrow" w:hAnsi="Arial" w:cs="Arial"/>
        </w:rPr>
        <w:t xml:space="preserve">the Bank’s </w:t>
      </w:r>
      <w:r w:rsidRPr="004C4F6D">
        <w:rPr>
          <w:rFonts w:ascii="Arial" w:eastAsia="Arial Narrow" w:hAnsi="Arial" w:cs="Arial"/>
        </w:rPr>
        <w:t xml:space="preserve">case, GMMS Version 3), the GPB and GAD AR are now subject to the review of the PCW-assigned reviewee and, subsequently, endorsement by the PCW. </w:t>
      </w:r>
      <w:r w:rsidR="002C4067" w:rsidRPr="004C4F6D">
        <w:rPr>
          <w:rFonts w:ascii="Arial" w:eastAsia="Arial Narrow" w:hAnsi="Arial" w:cs="Arial"/>
        </w:rPr>
        <w:t xml:space="preserve">The Bank </w:t>
      </w:r>
      <w:r w:rsidRPr="004C4F6D">
        <w:rPr>
          <w:rFonts w:ascii="Arial" w:eastAsia="Arial Narrow" w:hAnsi="Arial" w:cs="Arial"/>
        </w:rPr>
        <w:t xml:space="preserve">can only wait for the said endorsement and/or respond to or address feedback from PCW, if any, prior to its final endorsement. Management </w:t>
      </w:r>
      <w:r w:rsidR="002C4067" w:rsidRPr="004C4F6D">
        <w:rPr>
          <w:rFonts w:ascii="Arial" w:eastAsia="Arial Narrow" w:hAnsi="Arial" w:cs="Arial"/>
        </w:rPr>
        <w:t>added</w:t>
      </w:r>
      <w:r w:rsidRPr="004C4F6D">
        <w:rPr>
          <w:rFonts w:ascii="Arial" w:eastAsia="Arial Narrow" w:hAnsi="Arial" w:cs="Arial"/>
        </w:rPr>
        <w:t xml:space="preserve"> that the Bank was able to comply with the reportorial requirements (e.g., submission of the GPB and GAD AR as scheduled) as prescribed in the pertinent laws, rules, regulations</w:t>
      </w:r>
      <w:r w:rsidR="007C21E3" w:rsidRPr="004C4F6D">
        <w:rPr>
          <w:rFonts w:ascii="Arial" w:eastAsia="Arial Narrow" w:hAnsi="Arial" w:cs="Arial"/>
        </w:rPr>
        <w:t>,</w:t>
      </w:r>
      <w:r w:rsidRPr="004C4F6D">
        <w:rPr>
          <w:rFonts w:ascii="Arial" w:eastAsia="Arial Narrow" w:hAnsi="Arial" w:cs="Arial"/>
        </w:rPr>
        <w:t xml:space="preserve"> and issuances.</w:t>
      </w:r>
    </w:p>
    <w:p w14:paraId="5BE53820" w14:textId="77777777" w:rsidR="007C4947" w:rsidRPr="004C4F6D" w:rsidRDefault="007C4947" w:rsidP="004C4F6D">
      <w:pPr>
        <w:pStyle w:val="NoSpacing"/>
      </w:pPr>
    </w:p>
    <w:p w14:paraId="1F54CE6F" w14:textId="2F8C3769" w:rsidR="007C4947" w:rsidRPr="004C4F6D" w:rsidRDefault="007C4947" w:rsidP="004C4F6D">
      <w:pPr>
        <w:rPr>
          <w:rFonts w:ascii="Arial" w:eastAsia="Arial Narrow" w:hAnsi="Arial" w:cs="Arial"/>
          <w:b/>
          <w:bCs/>
          <w:i/>
          <w:iCs/>
        </w:rPr>
      </w:pPr>
      <w:r w:rsidRPr="004C4F6D">
        <w:rPr>
          <w:rFonts w:ascii="Arial" w:eastAsia="Arial Narrow" w:hAnsi="Arial" w:cs="Arial"/>
          <w:b/>
          <w:bCs/>
          <w:i/>
          <w:iCs/>
        </w:rPr>
        <w:t>GAD Accomplishments</w:t>
      </w:r>
    </w:p>
    <w:p w14:paraId="644BD88C" w14:textId="34E653DD" w:rsidR="007C4947" w:rsidRPr="004C4F6D" w:rsidRDefault="003919DE" w:rsidP="004C4F6D">
      <w:pPr>
        <w:pStyle w:val="ListParagraph"/>
        <w:numPr>
          <w:ilvl w:val="1"/>
          <w:numId w:val="42"/>
        </w:numPr>
        <w:spacing w:after="0" w:line="240" w:lineRule="auto"/>
        <w:ind w:left="0" w:firstLine="0"/>
        <w:jc w:val="both"/>
        <w:rPr>
          <w:rFonts w:ascii="Arial" w:eastAsia="Arial Narrow" w:hAnsi="Arial" w:cs="Arial"/>
          <w:iCs/>
        </w:rPr>
      </w:pPr>
      <w:r w:rsidRPr="004C4F6D">
        <w:rPr>
          <w:rFonts w:ascii="Arial" w:eastAsia="Arial Narrow" w:hAnsi="Arial" w:cs="Arial"/>
        </w:rPr>
        <w:t xml:space="preserve">On the basis that the Bank is not precluded from conducting its GAD PAPs despite lack of a finalized GAD Agenda and PCW-endorsed GPB, the GAD Accomplishment Report (AR) for FY2022 </w:t>
      </w:r>
      <w:r w:rsidR="007C21E3" w:rsidRPr="004C4F6D">
        <w:rPr>
          <w:rFonts w:ascii="Arial" w:eastAsia="Arial Narrow" w:hAnsi="Arial" w:cs="Arial"/>
        </w:rPr>
        <w:t xml:space="preserve">submitted to the audit team </w:t>
      </w:r>
      <w:r w:rsidR="007C596C">
        <w:rPr>
          <w:rFonts w:ascii="Arial" w:eastAsia="Arial Narrow" w:hAnsi="Arial" w:cs="Arial"/>
        </w:rPr>
        <w:t>vis-à</w:t>
      </w:r>
      <w:r w:rsidRPr="004C4F6D">
        <w:rPr>
          <w:rFonts w:ascii="Arial" w:eastAsia="Arial Narrow" w:hAnsi="Arial" w:cs="Arial"/>
        </w:rPr>
        <w:t>-vis the GPB for FY 2022 submitted to PCW</w:t>
      </w:r>
      <w:r w:rsidR="007C21E3" w:rsidRPr="004C4F6D">
        <w:rPr>
          <w:rFonts w:ascii="Arial" w:eastAsia="Arial Narrow" w:hAnsi="Arial" w:cs="Arial"/>
        </w:rPr>
        <w:t xml:space="preserve"> was reviewed</w:t>
      </w:r>
      <w:r w:rsidRPr="004C4F6D">
        <w:rPr>
          <w:rFonts w:ascii="Arial" w:eastAsia="Arial Narrow" w:hAnsi="Arial" w:cs="Arial"/>
        </w:rPr>
        <w:t>. The Bank utilized a total of P13,686,895,692.28, or 30.25</w:t>
      </w:r>
      <w:r w:rsidR="007C21E3" w:rsidRPr="004C4F6D">
        <w:rPr>
          <w:rFonts w:ascii="Arial" w:eastAsia="Arial Narrow" w:hAnsi="Arial" w:cs="Arial"/>
        </w:rPr>
        <w:t xml:space="preserve"> per cent</w:t>
      </w:r>
      <w:r w:rsidRPr="004C4F6D">
        <w:rPr>
          <w:rFonts w:ascii="Arial" w:eastAsia="Arial Narrow" w:hAnsi="Arial" w:cs="Arial"/>
        </w:rPr>
        <w:t>, using the revised GAD Budget of P45,244,068,986.82</w:t>
      </w:r>
      <w:r w:rsidR="007C4947" w:rsidRPr="004C4F6D">
        <w:rPr>
          <w:rFonts w:ascii="Arial" w:eastAsia="Arial Narrow" w:hAnsi="Arial" w:cs="Arial"/>
        </w:rPr>
        <w:t xml:space="preserve">.   </w:t>
      </w:r>
    </w:p>
    <w:p w14:paraId="2E444B5A" w14:textId="77777777" w:rsidR="007C4947" w:rsidRPr="004C4F6D" w:rsidRDefault="007C4947" w:rsidP="004C4F6D">
      <w:pPr>
        <w:pStyle w:val="ListParagraph"/>
        <w:spacing w:after="0" w:line="240" w:lineRule="auto"/>
        <w:ind w:left="0"/>
        <w:jc w:val="both"/>
        <w:rPr>
          <w:rFonts w:ascii="Arial" w:eastAsia="Arial Narrow" w:hAnsi="Arial" w:cs="Arial"/>
          <w:iCs/>
        </w:rPr>
      </w:pPr>
    </w:p>
    <w:p w14:paraId="474DEA40" w14:textId="25E157E4" w:rsidR="007C4947" w:rsidRPr="004C4F6D" w:rsidRDefault="007C4947" w:rsidP="004C4F6D">
      <w:pPr>
        <w:pStyle w:val="ListParagraph"/>
        <w:numPr>
          <w:ilvl w:val="1"/>
          <w:numId w:val="42"/>
        </w:numPr>
        <w:spacing w:after="0" w:line="240" w:lineRule="auto"/>
        <w:ind w:left="0" w:firstLine="0"/>
        <w:jc w:val="both"/>
        <w:rPr>
          <w:rFonts w:ascii="Arial" w:hAnsi="Arial" w:cs="Arial"/>
          <w:iCs/>
        </w:rPr>
      </w:pPr>
      <w:r w:rsidRPr="004C4F6D">
        <w:rPr>
          <w:rFonts w:ascii="Arial" w:hAnsi="Arial" w:cs="Arial"/>
        </w:rPr>
        <w:t xml:space="preserve">The review of the FY 2022 AR vis à vis the GPB was conducted to also determine whether planned activities were accomplished during the year, in accordance with the prescribed budget. </w:t>
      </w:r>
      <w:r w:rsidR="007C21E3" w:rsidRPr="004C4F6D">
        <w:rPr>
          <w:rFonts w:ascii="Arial" w:hAnsi="Arial" w:cs="Arial"/>
        </w:rPr>
        <w:t>Presented b</w:t>
      </w:r>
      <w:r w:rsidRPr="004C4F6D">
        <w:rPr>
          <w:rFonts w:ascii="Arial" w:hAnsi="Arial" w:cs="Arial"/>
        </w:rPr>
        <w:t>elow are the observations noted</w:t>
      </w:r>
      <w:r w:rsidR="007C21E3" w:rsidRPr="004C4F6D">
        <w:rPr>
          <w:rFonts w:ascii="Arial" w:hAnsi="Arial" w:cs="Arial"/>
        </w:rPr>
        <w:t xml:space="preserve"> in the review</w:t>
      </w:r>
      <w:r w:rsidRPr="004C4F6D">
        <w:rPr>
          <w:rFonts w:ascii="Arial" w:hAnsi="Arial" w:cs="Arial"/>
        </w:rPr>
        <w:t>:</w:t>
      </w:r>
    </w:p>
    <w:p w14:paraId="4E7A4CCB" w14:textId="77777777" w:rsidR="007C4947" w:rsidRPr="004C4F6D" w:rsidRDefault="007C4947" w:rsidP="004C4F6D">
      <w:pPr>
        <w:spacing w:after="0" w:line="240" w:lineRule="auto"/>
        <w:jc w:val="both"/>
        <w:rPr>
          <w:rFonts w:ascii="Arial" w:eastAsia="Arial Narrow" w:hAnsi="Arial" w:cs="Arial"/>
          <w:iCs/>
        </w:rPr>
      </w:pPr>
    </w:p>
    <w:p w14:paraId="32DBE3A0" w14:textId="7DC36626" w:rsidR="00312FC6" w:rsidRPr="004C4F6D" w:rsidRDefault="007C4947"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color w:val="000000"/>
        </w:rPr>
        <w:t xml:space="preserve"> </w:t>
      </w:r>
      <w:r w:rsidRPr="004C4F6D">
        <w:rPr>
          <w:rFonts w:ascii="Arial" w:hAnsi="Arial" w:cs="Arial"/>
        </w:rPr>
        <w:t>GAD budget reflected in the GAD AR is P45,244,068,986.82, representing the 8.51</w:t>
      </w:r>
      <w:r w:rsidR="007C21E3" w:rsidRPr="004C4F6D">
        <w:rPr>
          <w:rFonts w:ascii="Arial" w:hAnsi="Arial" w:cs="Arial"/>
        </w:rPr>
        <w:t xml:space="preserve"> per cent</w:t>
      </w:r>
      <w:r w:rsidRPr="004C4F6D">
        <w:rPr>
          <w:rFonts w:ascii="Arial" w:hAnsi="Arial" w:cs="Arial"/>
        </w:rPr>
        <w:t xml:space="preserve"> of the DBM approved Corporate Operating Budget (COB) of LANDBANK for FY 2022, amounting to P531,447,853,000.00. The budget is a revision of the GPB submitted to PCW showing P184,826, 288.94 or 50</w:t>
      </w:r>
      <w:r w:rsidR="007C21E3" w:rsidRPr="004C4F6D">
        <w:rPr>
          <w:rFonts w:ascii="Arial" w:hAnsi="Arial" w:cs="Arial"/>
        </w:rPr>
        <w:t xml:space="preserve"> per cent</w:t>
      </w:r>
      <w:r w:rsidRPr="004C4F6D">
        <w:rPr>
          <w:rFonts w:ascii="Arial" w:hAnsi="Arial" w:cs="Arial"/>
        </w:rPr>
        <w:t xml:space="preserve"> of the FY2021 COB. However, the Bank did not inform the PCW in writing about the revision of the budget based on the DBM approved FY2022 COB, contrary to paragraph 9.2 of PCW NEDA.  </w:t>
      </w:r>
      <w:r w:rsidR="003919DE" w:rsidRPr="004C4F6D">
        <w:rPr>
          <w:rFonts w:ascii="Arial" w:eastAsia="Arial Narrow" w:hAnsi="Arial" w:cs="Arial"/>
        </w:rPr>
        <w:t xml:space="preserve">Management </w:t>
      </w:r>
      <w:r w:rsidRPr="004C4F6D">
        <w:rPr>
          <w:rFonts w:ascii="Arial" w:eastAsia="Arial Narrow" w:hAnsi="Arial" w:cs="Arial"/>
        </w:rPr>
        <w:t>cited the following</w:t>
      </w:r>
      <w:r w:rsidR="003919DE" w:rsidRPr="004C4F6D">
        <w:rPr>
          <w:rFonts w:ascii="Arial" w:eastAsia="Arial Narrow" w:hAnsi="Arial" w:cs="Arial"/>
        </w:rPr>
        <w:t xml:space="preserve"> factors that influenced the revision of the CY 2022 GAD budget, which was consequently reflected in the Bank’s CY 2022 GAD AR</w:t>
      </w:r>
      <w:r w:rsidRPr="004C4F6D">
        <w:rPr>
          <w:rFonts w:ascii="Arial" w:eastAsia="Arial Narrow" w:hAnsi="Arial" w:cs="Arial"/>
        </w:rPr>
        <w:t>:</w:t>
      </w:r>
    </w:p>
    <w:p w14:paraId="690990E7" w14:textId="77777777" w:rsidR="00891AE6" w:rsidRPr="004C4F6D" w:rsidRDefault="00891AE6" w:rsidP="004C4F6D">
      <w:pPr>
        <w:pStyle w:val="ListParagraph"/>
        <w:spacing w:after="0" w:line="240" w:lineRule="auto"/>
        <w:ind w:left="0"/>
        <w:jc w:val="both"/>
        <w:rPr>
          <w:rFonts w:ascii="Arial" w:eastAsia="Arial Narrow" w:hAnsi="Arial" w:cs="Arial"/>
        </w:rPr>
      </w:pPr>
    </w:p>
    <w:p w14:paraId="38B84A71" w14:textId="4C32B19F" w:rsidR="00312FC6" w:rsidRPr="004C4F6D" w:rsidRDefault="003919DE" w:rsidP="004C4F6D">
      <w:pPr>
        <w:pStyle w:val="ListParagraph"/>
        <w:numPr>
          <w:ilvl w:val="7"/>
          <w:numId w:val="42"/>
        </w:numPr>
        <w:spacing w:after="0" w:line="240" w:lineRule="auto"/>
        <w:ind w:left="1134" w:hanging="401"/>
        <w:jc w:val="both"/>
        <w:rPr>
          <w:rFonts w:ascii="Arial" w:eastAsia="Arial Narrow" w:hAnsi="Arial" w:cs="Arial"/>
        </w:rPr>
      </w:pPr>
      <w:r w:rsidRPr="004C4F6D">
        <w:rPr>
          <w:rFonts w:ascii="Arial" w:eastAsia="Arial Narrow" w:hAnsi="Arial" w:cs="Arial"/>
        </w:rPr>
        <w:t xml:space="preserve">Significant increase in the Bank’s COB (from </w:t>
      </w:r>
      <w:r w:rsidR="007C4947" w:rsidRPr="004C4F6D">
        <w:rPr>
          <w:rFonts w:ascii="Arial" w:eastAsia="Arial Narrow" w:hAnsi="Arial" w:cs="Arial"/>
        </w:rPr>
        <w:t>P</w:t>
      </w:r>
      <w:r w:rsidRPr="004C4F6D">
        <w:rPr>
          <w:rFonts w:ascii="Arial" w:eastAsia="Arial Narrow" w:hAnsi="Arial" w:cs="Arial"/>
        </w:rPr>
        <w:t xml:space="preserve">369.584 </w:t>
      </w:r>
      <w:r w:rsidR="007C4947" w:rsidRPr="004C4F6D">
        <w:rPr>
          <w:rFonts w:ascii="Arial" w:eastAsia="Arial Narrow" w:hAnsi="Arial" w:cs="Arial"/>
        </w:rPr>
        <w:t xml:space="preserve">billion </w:t>
      </w:r>
      <w:r w:rsidRPr="004C4F6D">
        <w:rPr>
          <w:rFonts w:ascii="Arial" w:eastAsia="Arial Narrow" w:hAnsi="Arial" w:cs="Arial"/>
        </w:rPr>
        <w:t xml:space="preserve">to </w:t>
      </w:r>
      <w:r w:rsidR="007C4947" w:rsidRPr="004C4F6D">
        <w:rPr>
          <w:rFonts w:ascii="Arial" w:eastAsia="Arial" w:hAnsi="Arial" w:cs="Arial"/>
        </w:rPr>
        <w:t>P</w:t>
      </w:r>
      <w:r w:rsidRPr="004C4F6D">
        <w:rPr>
          <w:rFonts w:ascii="Arial" w:eastAsia="Arial Narrow" w:hAnsi="Arial" w:cs="Arial"/>
        </w:rPr>
        <w:t xml:space="preserve">531.448 </w:t>
      </w:r>
      <w:r w:rsidR="007C4947" w:rsidRPr="004C4F6D">
        <w:rPr>
          <w:rFonts w:ascii="Arial" w:eastAsia="Arial Narrow" w:hAnsi="Arial" w:cs="Arial"/>
        </w:rPr>
        <w:t>billion</w:t>
      </w:r>
      <w:r w:rsidRPr="004C4F6D">
        <w:rPr>
          <w:rFonts w:ascii="Arial" w:eastAsia="Arial Narrow" w:hAnsi="Arial" w:cs="Arial"/>
        </w:rPr>
        <w:t xml:space="preserve">) resulting from the merger between </w:t>
      </w:r>
      <w:r w:rsidR="007C4947" w:rsidRPr="004C4F6D">
        <w:rPr>
          <w:rFonts w:ascii="Arial" w:eastAsia="Arial Narrow" w:hAnsi="Arial" w:cs="Arial"/>
        </w:rPr>
        <w:t xml:space="preserve">Land Bank </w:t>
      </w:r>
      <w:r w:rsidRPr="004C4F6D">
        <w:rPr>
          <w:rFonts w:ascii="Arial" w:eastAsia="Arial Narrow" w:hAnsi="Arial" w:cs="Arial"/>
        </w:rPr>
        <w:t xml:space="preserve">and the former United </w:t>
      </w:r>
      <w:r w:rsidRPr="004C4F6D">
        <w:rPr>
          <w:rFonts w:ascii="Arial" w:eastAsia="Arial Narrow" w:hAnsi="Arial" w:cs="Arial"/>
        </w:rPr>
        <w:lastRenderedPageBreak/>
        <w:t>Coconut Planters Bank in March 2023</w:t>
      </w:r>
      <w:r w:rsidR="00891AE6" w:rsidRPr="004C4F6D">
        <w:rPr>
          <w:rFonts w:ascii="Arial" w:eastAsia="Arial Narrow" w:hAnsi="Arial" w:cs="Arial"/>
        </w:rPr>
        <w:t xml:space="preserve"> -</w:t>
      </w:r>
      <w:r w:rsidRPr="004C4F6D">
        <w:rPr>
          <w:rFonts w:ascii="Arial" w:eastAsia="Arial Narrow" w:hAnsi="Arial" w:cs="Arial"/>
        </w:rPr>
        <w:t xml:space="preserve"> The COB had to be adjusted four (4) months after the submission of the CY 2022 GPB to the PCW in consideration of this institutional development.</w:t>
      </w:r>
    </w:p>
    <w:p w14:paraId="110C9850" w14:textId="77777777" w:rsidR="00312FC6" w:rsidRPr="004C4F6D" w:rsidRDefault="00312FC6" w:rsidP="004C4F6D">
      <w:pPr>
        <w:spacing w:after="0" w:line="240" w:lineRule="auto"/>
        <w:ind w:left="1134"/>
        <w:jc w:val="both"/>
        <w:rPr>
          <w:rFonts w:ascii="Arial" w:eastAsia="Arial Narrow" w:hAnsi="Arial" w:cs="Arial"/>
        </w:rPr>
      </w:pPr>
    </w:p>
    <w:p w14:paraId="2B3BDE93" w14:textId="4C450D5C" w:rsidR="00312FC6" w:rsidRPr="004C4F6D" w:rsidRDefault="003919DE" w:rsidP="004C4F6D">
      <w:pPr>
        <w:pStyle w:val="ListParagraph"/>
        <w:numPr>
          <w:ilvl w:val="7"/>
          <w:numId w:val="42"/>
        </w:numPr>
        <w:spacing w:after="0" w:line="240" w:lineRule="auto"/>
        <w:ind w:left="1134" w:hanging="401"/>
        <w:jc w:val="both"/>
        <w:rPr>
          <w:rFonts w:ascii="Arial" w:eastAsia="Arial Narrow" w:hAnsi="Arial" w:cs="Arial"/>
        </w:rPr>
      </w:pPr>
      <w:r w:rsidRPr="004C4F6D">
        <w:rPr>
          <w:rFonts w:ascii="Arial" w:eastAsia="Arial Narrow" w:hAnsi="Arial" w:cs="Arial"/>
        </w:rPr>
        <w:t>Learning curve of Bank employees concerned in terms of evaluating GAD PAPs using the Harmonized Gender and Development (HGDG) Tool – It can be noted that intensive capability building on GAD (especially on gender analysis and GAD planning and budgeting) was seriously undertaken starting 2021. Understandably, the level of employees’ understanding of the use and application of gender analysis tool was different at the beginning (i.e., at the time of preparation of the GPB) and progresses over time (i.e., at the time of the preparation of GAD AR) as they gain more maturity, better appreciation of concepts, and additional competencies on GAD. This explains why in certain instances, PAPs that were previously identified in the GPB using Box 7 of the HGDG Tool were no longer part of the GAD AR since employees concerned had become more adept at evaluating the said items using Boxes 16 and 17 of the HGDG Tool.</w:t>
      </w:r>
    </w:p>
    <w:p w14:paraId="32D67902" w14:textId="77777777" w:rsidR="00312FC6" w:rsidRPr="004C4F6D" w:rsidRDefault="00312FC6" w:rsidP="004C4F6D">
      <w:pPr>
        <w:spacing w:after="0" w:line="240" w:lineRule="auto"/>
        <w:ind w:left="993"/>
        <w:jc w:val="both"/>
        <w:rPr>
          <w:rFonts w:ascii="Arial" w:eastAsia="Arial Narrow" w:hAnsi="Arial" w:cs="Arial"/>
        </w:rPr>
      </w:pPr>
    </w:p>
    <w:p w14:paraId="6787092D" w14:textId="47DCCE99" w:rsidR="00312FC6" w:rsidRPr="004C4F6D" w:rsidRDefault="003919DE" w:rsidP="004C4F6D">
      <w:pPr>
        <w:pStyle w:val="ListParagraph"/>
        <w:numPr>
          <w:ilvl w:val="1"/>
          <w:numId w:val="42"/>
        </w:numPr>
        <w:spacing w:after="0" w:line="240" w:lineRule="auto"/>
        <w:ind w:left="0" w:firstLine="0"/>
        <w:jc w:val="both"/>
        <w:rPr>
          <w:rFonts w:ascii="Arial" w:hAnsi="Arial" w:cs="Arial"/>
        </w:rPr>
      </w:pPr>
      <w:r w:rsidRPr="004C4F6D">
        <w:rPr>
          <w:rFonts w:ascii="Arial" w:eastAsia="Arial Narrow" w:hAnsi="Arial" w:cs="Arial"/>
          <w:color w:val="000000"/>
        </w:rPr>
        <w:t>The GAD budget amounting to P45,244,068,986.82 is underutilized with only P13,686,895,692.28 or 30.25</w:t>
      </w:r>
      <w:r w:rsidR="00891AE6" w:rsidRPr="004C4F6D">
        <w:rPr>
          <w:rFonts w:ascii="Arial" w:eastAsia="Arial Narrow" w:hAnsi="Arial" w:cs="Arial"/>
          <w:color w:val="000000"/>
        </w:rPr>
        <w:t xml:space="preserve"> per cent</w:t>
      </w:r>
      <w:r w:rsidRPr="004C4F6D">
        <w:rPr>
          <w:rFonts w:ascii="Arial" w:eastAsia="Arial Narrow" w:hAnsi="Arial" w:cs="Arial"/>
          <w:color w:val="000000"/>
        </w:rPr>
        <w:t xml:space="preserve"> utilization rate, or an actual GAD expenditure of only 2.58</w:t>
      </w:r>
      <w:r w:rsidR="00891AE6" w:rsidRPr="004C4F6D">
        <w:rPr>
          <w:rFonts w:ascii="Arial" w:eastAsia="Arial Narrow" w:hAnsi="Arial" w:cs="Arial"/>
          <w:color w:val="000000"/>
        </w:rPr>
        <w:t xml:space="preserve"> per cent</w:t>
      </w:r>
      <w:r w:rsidRPr="004C4F6D">
        <w:rPr>
          <w:rFonts w:ascii="Arial" w:eastAsia="Arial Narrow" w:hAnsi="Arial" w:cs="Arial"/>
          <w:color w:val="000000"/>
        </w:rPr>
        <w:t xml:space="preserve"> of the DBM approved COB of P531,447,853,000.00. The budget, in effect, was not maximized to fulfill the requirements of paragraph 6.1 of the PCW NEDA DBM Joint Circular No. 2012 01 requiring “at least five per cent (5%) of the total agency budget appropriations authorized under the annual General Appropriations Act shall correspond to activities supporting GAD plans and programs.” The underutilization of the planned budget is linked to non-conduct of planned activities under the GAD attributed programs/projects. ERD mentioned that the LPMG, the primary responsible unit in the GAD implementation, encounters challenges in the attribution of expenditures because the credit process of the Bank involves various units from the Head Office to the field units and is not solely a responsibility of LPMG.</w:t>
      </w:r>
      <w:r w:rsidR="007C4947" w:rsidRPr="004C4F6D">
        <w:rPr>
          <w:rFonts w:ascii="Arial" w:eastAsia="Arial Narrow" w:hAnsi="Arial" w:cs="Arial"/>
          <w:color w:val="000000"/>
        </w:rPr>
        <w:t xml:space="preserve">  </w:t>
      </w:r>
      <w:r w:rsidRPr="004C4F6D">
        <w:rPr>
          <w:rFonts w:ascii="Arial" w:hAnsi="Arial" w:cs="Arial"/>
        </w:rPr>
        <w:t xml:space="preserve">Upon management’s further review of the submitted GPB as part of their continual capability building, employees concerned were directed to reclassify </w:t>
      </w:r>
      <w:r w:rsidR="00891AE6" w:rsidRPr="004C4F6D">
        <w:rPr>
          <w:rFonts w:ascii="Arial" w:hAnsi="Arial" w:cs="Arial"/>
        </w:rPr>
        <w:t>several</w:t>
      </w:r>
      <w:r w:rsidRPr="004C4F6D">
        <w:rPr>
          <w:rFonts w:ascii="Arial" w:hAnsi="Arial" w:cs="Arial"/>
        </w:rPr>
        <w:t xml:space="preserve"> GAD PAPs under program attribution using the HGDG Tool because they were found to be not direct GAD initiatives. When subjected to the tool, a number fell short of the threshold allowed per PCW-NEDADBM Joint Circular No. 2012-01; hence, they are part of the ongoing mitigation process to address the gaps.</w:t>
      </w:r>
      <w:r w:rsidR="00A4063B" w:rsidRPr="004C4F6D">
        <w:rPr>
          <w:rFonts w:ascii="Arial" w:hAnsi="Arial" w:cs="Arial"/>
        </w:rPr>
        <w:t xml:space="preserve">  </w:t>
      </w:r>
      <w:r w:rsidRPr="004C4F6D">
        <w:rPr>
          <w:rFonts w:ascii="Arial" w:hAnsi="Arial" w:cs="Arial"/>
        </w:rPr>
        <w:t>ERD also reiterated mention of the challenges encountered by the Bank’s lending personnel in the actual implementation and/or attribution of GPB consisting of development lending programs in view of the extent of the credit process.</w:t>
      </w:r>
    </w:p>
    <w:p w14:paraId="4277FFF4" w14:textId="77777777" w:rsidR="00312FC6" w:rsidRPr="004C4F6D" w:rsidRDefault="00312FC6" w:rsidP="004C4F6D">
      <w:pPr>
        <w:spacing w:after="0" w:line="240" w:lineRule="auto"/>
        <w:ind w:left="993"/>
        <w:jc w:val="both"/>
        <w:rPr>
          <w:rFonts w:ascii="Arial" w:eastAsia="Arial Narrow" w:hAnsi="Arial" w:cs="Arial"/>
        </w:rPr>
      </w:pPr>
    </w:p>
    <w:p w14:paraId="10A3101B" w14:textId="7777777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Nine planned activities under the client focused gender issue/gender mandate were included in the GPB but none was accomplished as reported in the GAD AR. These activities were not conducted during the year due to the following reasons by Management: a) the units/offices involved are still on-going the basic GAD trainings, and b) GAD Agenda is still pending completion and presentation to the LBP GFPS Chairperson. Also, it was mentioned that the Bank did not inform PCW of the revision on the GAD Budget amount, and the same was not done to include the additional PAPs relevant to current gender issues.</w:t>
      </w:r>
    </w:p>
    <w:p w14:paraId="5AAD94D4" w14:textId="77777777" w:rsidR="00312FC6" w:rsidRPr="004C4F6D" w:rsidRDefault="00312FC6" w:rsidP="004C4F6D">
      <w:pPr>
        <w:spacing w:after="0" w:line="240" w:lineRule="auto"/>
        <w:ind w:left="709" w:right="-90"/>
        <w:jc w:val="both"/>
        <w:rPr>
          <w:rFonts w:ascii="Arial" w:eastAsia="Arial Narrow" w:hAnsi="Arial" w:cs="Arial"/>
          <w:color w:val="000000"/>
        </w:rPr>
      </w:pPr>
    </w:p>
    <w:p w14:paraId="50336B9F" w14:textId="7777777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The Bank reported a total of P111,499,761.74 GAD expenditures for the organization focused gender issues/mandates, which exceeded the budget of P77,006,982.44 by P34,492,779.30.</w:t>
      </w:r>
    </w:p>
    <w:p w14:paraId="2CBC3F08" w14:textId="63951814"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lastRenderedPageBreak/>
        <w:t>The activity on the participation of LANDBANK to celebrate the pride month for members of the LGBTQIA community, not includ</w:t>
      </w:r>
      <w:r w:rsidR="00B90EC3">
        <w:rPr>
          <w:rFonts w:ascii="Arial" w:eastAsia="Arial Narrow" w:hAnsi="Arial" w:cs="Arial"/>
          <w:color w:val="000000"/>
        </w:rPr>
        <w:t>ed in the budgeted organization</w:t>
      </w:r>
      <w:r w:rsidRPr="004C4F6D">
        <w:rPr>
          <w:rFonts w:ascii="Arial" w:eastAsia="Arial Narrow" w:hAnsi="Arial" w:cs="Arial"/>
          <w:color w:val="000000"/>
        </w:rPr>
        <w:t>-focused gender issues/mandate, was reported as actual GAD activity conducted.</w:t>
      </w:r>
    </w:p>
    <w:p w14:paraId="4CCAE99A" w14:textId="77777777" w:rsidR="00312FC6" w:rsidRPr="004C4F6D" w:rsidRDefault="00312FC6" w:rsidP="004C4F6D">
      <w:pPr>
        <w:spacing w:after="0" w:line="240" w:lineRule="auto"/>
        <w:ind w:left="709"/>
        <w:jc w:val="both"/>
        <w:rPr>
          <w:rFonts w:ascii="Arial" w:eastAsia="Arial Narrow" w:hAnsi="Arial" w:cs="Arial"/>
          <w:color w:val="000000"/>
        </w:rPr>
      </w:pPr>
    </w:p>
    <w:p w14:paraId="1F708EAA" w14:textId="7CEEA7AF"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For GAD-attributed programs/projects, only four (4) out of 25 programs included in the GPB were reported in GAD accomplishment, is indicated in section C, item nos. 22 to 25 in the table under item 2.4. Also, three (3) programs were reported as GAD accomplishment but were not included in the GPB (section C, item nos. 26 to 28). For these seven programs included in GAD AR, no actual outcome/result performance was indicated but a total of GAD expenditure amounting to P 13,575,395,930.54 was attributed.</w:t>
      </w:r>
    </w:p>
    <w:p w14:paraId="137D1D99" w14:textId="6C243AED" w:rsidR="00C938A8" w:rsidRPr="004C4F6D" w:rsidRDefault="00C938A8" w:rsidP="004C4F6D">
      <w:pPr>
        <w:pStyle w:val="ListParagraph"/>
        <w:spacing w:after="0" w:line="240" w:lineRule="auto"/>
        <w:ind w:left="0"/>
        <w:jc w:val="both"/>
        <w:rPr>
          <w:rFonts w:ascii="Arial" w:eastAsia="Arial Narrow" w:hAnsi="Arial" w:cs="Arial"/>
          <w:color w:val="000000"/>
        </w:rPr>
      </w:pPr>
    </w:p>
    <w:p w14:paraId="616C71B4" w14:textId="45B07A5C"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hAnsi="Arial" w:cs="Arial"/>
        </w:rPr>
        <w:t>For</w:t>
      </w:r>
      <w:r w:rsidR="00891AE6" w:rsidRPr="004C4F6D">
        <w:rPr>
          <w:rFonts w:ascii="Arial" w:eastAsia="Arial Narrow" w:hAnsi="Arial" w:cs="Arial"/>
        </w:rPr>
        <w:t xml:space="preserve"> the above observations, </w:t>
      </w:r>
      <w:r w:rsidRPr="004C4F6D">
        <w:rPr>
          <w:rFonts w:ascii="Arial" w:eastAsia="Arial Narrow" w:hAnsi="Arial" w:cs="Arial"/>
        </w:rPr>
        <w:t xml:space="preserve">ERD commented </w:t>
      </w:r>
      <w:r w:rsidR="00891AE6" w:rsidRPr="004C4F6D">
        <w:rPr>
          <w:rFonts w:ascii="Arial" w:eastAsia="Arial Narrow" w:hAnsi="Arial" w:cs="Arial"/>
        </w:rPr>
        <w:t>as follows</w:t>
      </w:r>
      <w:r w:rsidRPr="004C4F6D">
        <w:rPr>
          <w:rFonts w:ascii="Arial" w:eastAsia="Arial Narrow" w:hAnsi="Arial" w:cs="Arial"/>
        </w:rPr>
        <w:t>:</w:t>
      </w:r>
    </w:p>
    <w:p w14:paraId="1852E660" w14:textId="77777777" w:rsidR="00312FC6" w:rsidRPr="004C4F6D" w:rsidRDefault="00312FC6" w:rsidP="004C4F6D">
      <w:pPr>
        <w:spacing w:after="0" w:line="240" w:lineRule="auto"/>
        <w:ind w:left="851" w:hanging="142"/>
        <w:jc w:val="both"/>
        <w:rPr>
          <w:rFonts w:ascii="Arial" w:eastAsia="Arial Narrow" w:hAnsi="Arial" w:cs="Arial"/>
        </w:rPr>
      </w:pPr>
    </w:p>
    <w:p w14:paraId="3F5CBE80" w14:textId="553F764F" w:rsidR="00312FC6" w:rsidRPr="004C4F6D" w:rsidRDefault="007C4947" w:rsidP="004C4F6D">
      <w:pPr>
        <w:pStyle w:val="ListParagraph"/>
        <w:numPr>
          <w:ilvl w:val="7"/>
          <w:numId w:val="42"/>
        </w:numPr>
        <w:spacing w:after="0" w:line="240" w:lineRule="auto"/>
        <w:ind w:left="851" w:hanging="284"/>
        <w:jc w:val="both"/>
        <w:rPr>
          <w:rFonts w:ascii="Arial" w:eastAsia="Arial Narrow" w:hAnsi="Arial" w:cs="Arial"/>
        </w:rPr>
      </w:pPr>
      <w:r w:rsidRPr="004C4F6D">
        <w:rPr>
          <w:rFonts w:ascii="Arial" w:eastAsia="Arial Narrow" w:hAnsi="Arial" w:cs="Arial"/>
        </w:rPr>
        <w:t>T</w:t>
      </w:r>
      <w:r w:rsidR="003919DE" w:rsidRPr="004C4F6D">
        <w:rPr>
          <w:rFonts w:ascii="Arial" w:eastAsia="Arial Narrow" w:hAnsi="Arial" w:cs="Arial"/>
        </w:rPr>
        <w:t>he items reflected in the GAD AR are the GAD PAPs/initiatives that were undertaken or implemented during a given year. The GAD budget and the corresponding PAPs that are reported in the GAD AR may the vary from the previously submitted GPB since they are reflective of the actual accomplishments of the agency (e.g., actual availments of special leave privilege under the Magna Carta of Women). Moreover, the PCW allows the implementation of additional GAD PAPs that were not previously part of the GPB (e.g., Pride Month Celebration) for as long as these fall within the mandate of the implementing agency (i.e., the Bank) and are relevant to current gender issues or GAD-related undertakings.</w:t>
      </w:r>
    </w:p>
    <w:p w14:paraId="6405153B" w14:textId="77777777" w:rsidR="00312FC6" w:rsidRPr="004C4F6D" w:rsidRDefault="00312FC6" w:rsidP="004C4F6D">
      <w:pPr>
        <w:spacing w:after="0" w:line="240" w:lineRule="auto"/>
        <w:ind w:left="993"/>
        <w:jc w:val="both"/>
        <w:rPr>
          <w:rFonts w:ascii="Arial" w:eastAsia="Arial Narrow" w:hAnsi="Arial" w:cs="Arial"/>
        </w:rPr>
      </w:pPr>
    </w:p>
    <w:p w14:paraId="320C6561" w14:textId="7EAA8E29" w:rsidR="00312FC6" w:rsidRPr="004C4F6D" w:rsidRDefault="003919DE" w:rsidP="004C4F6D">
      <w:pPr>
        <w:pStyle w:val="ListParagraph"/>
        <w:numPr>
          <w:ilvl w:val="7"/>
          <w:numId w:val="42"/>
        </w:numPr>
        <w:spacing w:after="0" w:line="240" w:lineRule="auto"/>
        <w:ind w:left="851" w:hanging="401"/>
        <w:jc w:val="both"/>
        <w:rPr>
          <w:rFonts w:ascii="Arial" w:eastAsia="Arial Narrow" w:hAnsi="Arial" w:cs="Arial"/>
        </w:rPr>
      </w:pPr>
      <w:r w:rsidRPr="004C4F6D">
        <w:rPr>
          <w:rFonts w:ascii="Arial" w:eastAsia="Arial Narrow" w:hAnsi="Arial" w:cs="Arial"/>
        </w:rPr>
        <w:t>Some of the programs in the GPB were encoded without budget and corresponding AR because these were part of the GAD Agenda which are still for approval by the GFPS. Other programs, as mentioned earlier, were for reclassification and should be subjected to the HGDG Tool. In some cases, those reviewed using the HGDG Tool had to pass the prescribed threshold before they can be attributable to GAD.</w:t>
      </w:r>
    </w:p>
    <w:p w14:paraId="209A1820" w14:textId="77777777" w:rsidR="00312FC6" w:rsidRPr="004C4F6D" w:rsidRDefault="00312FC6" w:rsidP="004C4F6D">
      <w:pPr>
        <w:spacing w:after="0" w:line="240" w:lineRule="auto"/>
        <w:ind w:left="993"/>
        <w:jc w:val="both"/>
        <w:rPr>
          <w:rFonts w:ascii="Arial" w:eastAsia="Arial Narrow" w:hAnsi="Arial" w:cs="Arial"/>
        </w:rPr>
      </w:pPr>
    </w:p>
    <w:p w14:paraId="529C4DF4" w14:textId="28497FC0" w:rsidR="00312FC6" w:rsidRPr="004C4F6D" w:rsidRDefault="003919DE" w:rsidP="004C4F6D">
      <w:pPr>
        <w:pStyle w:val="ListParagraph"/>
        <w:numPr>
          <w:ilvl w:val="7"/>
          <w:numId w:val="42"/>
        </w:numPr>
        <w:spacing w:after="0" w:line="240" w:lineRule="auto"/>
        <w:ind w:left="851" w:hanging="401"/>
        <w:jc w:val="both"/>
        <w:rPr>
          <w:rFonts w:ascii="Arial" w:eastAsia="Arial Narrow" w:hAnsi="Arial" w:cs="Arial"/>
        </w:rPr>
      </w:pPr>
      <w:r w:rsidRPr="004C4F6D">
        <w:rPr>
          <w:rFonts w:ascii="Arial" w:eastAsia="Arial Narrow" w:hAnsi="Arial" w:cs="Arial"/>
        </w:rPr>
        <w:t xml:space="preserve">Upon consultation with the Policy Development, Planning, and Monitoring and Evaluation Division (PDPMED) of the PCW, </w:t>
      </w:r>
      <w:r w:rsidR="00891AE6" w:rsidRPr="004C4F6D">
        <w:rPr>
          <w:rFonts w:ascii="Arial" w:eastAsia="Arial Narrow" w:hAnsi="Arial" w:cs="Arial"/>
        </w:rPr>
        <w:t>it was</w:t>
      </w:r>
      <w:r w:rsidRPr="004C4F6D">
        <w:rPr>
          <w:rFonts w:ascii="Arial" w:eastAsia="Arial Narrow" w:hAnsi="Arial" w:cs="Arial"/>
        </w:rPr>
        <w:t xml:space="preserve"> informed that PCW need not be informed of changes in the GPBs, including such instances when there is a need to implement additional PAPs. For PDPMED-PCW, this requirement under PCW-NEDA-DBM JMC No.2012-01 (issued at the time when submissions were done physically or manually) has become moot with the implementation of the online submission of GPBs and GAD ARs using the GMMS.</w:t>
      </w:r>
    </w:p>
    <w:p w14:paraId="51676AAC" w14:textId="77777777" w:rsidR="00312FC6" w:rsidRPr="004C4F6D" w:rsidRDefault="00312FC6" w:rsidP="004C4F6D">
      <w:pPr>
        <w:spacing w:after="0" w:line="240" w:lineRule="auto"/>
        <w:ind w:left="993"/>
        <w:jc w:val="both"/>
        <w:rPr>
          <w:rFonts w:ascii="Arial" w:eastAsia="Arial Narrow" w:hAnsi="Arial" w:cs="Arial"/>
        </w:rPr>
      </w:pPr>
    </w:p>
    <w:p w14:paraId="31E95878" w14:textId="6A5C545E" w:rsidR="00312FC6" w:rsidRPr="004C4F6D" w:rsidRDefault="000A4FC3" w:rsidP="004C4F6D">
      <w:pPr>
        <w:pStyle w:val="ListParagraph"/>
        <w:numPr>
          <w:ilvl w:val="1"/>
          <w:numId w:val="42"/>
        </w:numPr>
        <w:spacing w:after="0" w:line="240" w:lineRule="auto"/>
        <w:ind w:left="0" w:firstLine="0"/>
        <w:jc w:val="both"/>
        <w:rPr>
          <w:rFonts w:ascii="Arial" w:eastAsia="Arial Narrow" w:hAnsi="Arial" w:cs="Arial"/>
          <w:color w:val="000000"/>
        </w:rPr>
      </w:pPr>
      <w:r>
        <w:rPr>
          <w:rFonts w:ascii="Arial" w:eastAsia="Arial Narrow" w:hAnsi="Arial" w:cs="Arial"/>
          <w:color w:val="000000"/>
        </w:rPr>
        <w:t>ERD, being the LBP</w:t>
      </w:r>
      <w:r w:rsidR="003919DE" w:rsidRPr="004C4F6D">
        <w:rPr>
          <w:rFonts w:ascii="Arial" w:eastAsia="Arial Narrow" w:hAnsi="Arial" w:cs="Arial"/>
          <w:color w:val="000000"/>
        </w:rPr>
        <w:t>-GFPS Secretariat, consolidates the data provided by various departments/units responsible for the GAD activities and encodes them for the annual GAD AR. However, the GAD AR is not reviewed and recommended by the GPFS Executive Committee, for approval by the Head of Agency, prior to its encoding submission to PCW via GMMSv3. In the absence of the said review and the GAD Agenda as guide for review, the correctness and alignment of the entries made in the GPB and GAD AR, including but not limited to the clarity of indicators/targets and achievable budget and number of activities, cannot be ascertained.</w:t>
      </w:r>
      <w:r w:rsidR="007C4947" w:rsidRPr="004C4F6D">
        <w:rPr>
          <w:rFonts w:ascii="Arial" w:eastAsia="Arial Narrow" w:hAnsi="Arial" w:cs="Arial"/>
        </w:rPr>
        <w:t xml:space="preserve">  </w:t>
      </w:r>
      <w:r w:rsidR="003919DE" w:rsidRPr="004C4F6D">
        <w:rPr>
          <w:rFonts w:ascii="Arial" w:eastAsia="Arial Narrow" w:hAnsi="Arial" w:cs="Arial"/>
        </w:rPr>
        <w:t xml:space="preserve">ERD </w:t>
      </w:r>
      <w:r w:rsidR="007C4947" w:rsidRPr="004C4F6D">
        <w:rPr>
          <w:rFonts w:ascii="Arial" w:eastAsia="Arial Narrow" w:hAnsi="Arial" w:cs="Arial"/>
        </w:rPr>
        <w:t xml:space="preserve">explained </w:t>
      </w:r>
      <w:r w:rsidR="003919DE" w:rsidRPr="004C4F6D">
        <w:rPr>
          <w:rFonts w:ascii="Arial" w:eastAsia="Arial Narrow" w:hAnsi="Arial" w:cs="Arial"/>
        </w:rPr>
        <w:t xml:space="preserve">that the items reported in the GPB and the GAD AR were presented to and approved by the Credit Committee (CreCom), the ManCom, and/or the Board of Directors. ERD emphasized that per LANDBANK Special Order No. 0225, s. 2019, the ManCom serves as the Executive Committee of the Bank’s GFPS. Other items in the report have special approvals as part </w:t>
      </w:r>
      <w:r w:rsidR="003919DE" w:rsidRPr="004C4F6D">
        <w:rPr>
          <w:rFonts w:ascii="Arial" w:eastAsia="Arial Narrow" w:hAnsi="Arial" w:cs="Arial"/>
        </w:rPr>
        <w:lastRenderedPageBreak/>
        <w:t>of the delegated authority in accordance with the Bank’s Codified Approving and Signing Authorities. As a government financial institution,</w:t>
      </w:r>
      <w:r w:rsidR="00DE6BD3" w:rsidRPr="004C4F6D">
        <w:rPr>
          <w:rFonts w:ascii="Arial" w:eastAsia="Arial Narrow" w:hAnsi="Arial" w:cs="Arial"/>
        </w:rPr>
        <w:t xml:space="preserve"> the Bank</w:t>
      </w:r>
      <w:r w:rsidR="003919DE" w:rsidRPr="004C4F6D">
        <w:rPr>
          <w:rFonts w:ascii="Arial" w:eastAsia="Arial Narrow" w:hAnsi="Arial" w:cs="Arial"/>
        </w:rPr>
        <w:t xml:space="preserve"> implements PAPs designed to address gender gaps and improve gender equality and equity within the bounds of international treaties and agreements (e.g.</w:t>
      </w:r>
      <w:r w:rsidR="00782193">
        <w:rPr>
          <w:rFonts w:ascii="Arial" w:eastAsia="Arial Narrow" w:hAnsi="Arial" w:cs="Arial"/>
        </w:rPr>
        <w:t xml:space="preserve"> </w:t>
      </w:r>
      <w:r w:rsidR="003919DE" w:rsidRPr="004C4F6D">
        <w:rPr>
          <w:rFonts w:ascii="Arial" w:eastAsia="Arial Narrow" w:hAnsi="Arial" w:cs="Arial"/>
        </w:rPr>
        <w:t>JICA), and national laws (MCW, Safe Spaces Act, etc.) alongside the country’s national development plan (including the National Financial Inclusion Strategy).</w:t>
      </w:r>
    </w:p>
    <w:p w14:paraId="5FF3C68A" w14:textId="77777777" w:rsidR="00312FC6" w:rsidRPr="004C4F6D" w:rsidRDefault="00312FC6" w:rsidP="004C4F6D">
      <w:pPr>
        <w:pStyle w:val="ListParagraph"/>
        <w:spacing w:after="0" w:line="240" w:lineRule="auto"/>
        <w:rPr>
          <w:rFonts w:ascii="Arial" w:eastAsia="Arial Narrow" w:hAnsi="Arial" w:cs="Arial"/>
          <w:color w:val="000000"/>
        </w:rPr>
      </w:pPr>
    </w:p>
    <w:p w14:paraId="261478E5" w14:textId="33A67036"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color w:val="000000"/>
        </w:rPr>
      </w:pPr>
      <w:r w:rsidRPr="004C4F6D">
        <w:rPr>
          <w:rFonts w:ascii="Arial" w:eastAsia="Arial Narrow" w:hAnsi="Arial" w:cs="Arial"/>
          <w:color w:val="000000"/>
        </w:rPr>
        <w:t>GAD Accomplishment Report for FY 2022 not reviewed by the PCW, and not based on a GAD Plan and Budget and supported by a complete/finalized GAD Agend</w:t>
      </w:r>
      <w:r w:rsidR="00782193">
        <w:rPr>
          <w:rFonts w:ascii="Arial" w:eastAsia="Arial Narrow" w:hAnsi="Arial" w:cs="Arial"/>
          <w:color w:val="000000"/>
        </w:rPr>
        <w:t>a 2022-2025 is contrary to PCW-NEDA</w:t>
      </w:r>
      <w:r w:rsidRPr="004C4F6D">
        <w:rPr>
          <w:rFonts w:ascii="Arial" w:eastAsia="Arial Narrow" w:hAnsi="Arial" w:cs="Arial"/>
          <w:color w:val="000000"/>
        </w:rPr>
        <w:t xml:space="preserve">-DBM Joint Memorandum Circular No. </w:t>
      </w:r>
      <w:r w:rsidR="00782193">
        <w:rPr>
          <w:rFonts w:ascii="Arial" w:eastAsia="Arial Narrow" w:hAnsi="Arial" w:cs="Arial"/>
          <w:color w:val="000000"/>
        </w:rPr>
        <w:t>2012</w:t>
      </w:r>
      <w:r w:rsidRPr="004C4F6D">
        <w:rPr>
          <w:rFonts w:ascii="Arial" w:eastAsia="Arial Narrow" w:hAnsi="Arial" w:cs="Arial"/>
          <w:color w:val="000000"/>
        </w:rPr>
        <w:t>-01, thus, FY 2022 GAD PAPs reported are not assured whether they are in conjunction with international treaties and national laws and plan on gender equality.</w:t>
      </w:r>
    </w:p>
    <w:p w14:paraId="7A6EBE15" w14:textId="77777777" w:rsidR="00312FC6" w:rsidRPr="004C4F6D" w:rsidRDefault="00312FC6" w:rsidP="004C4F6D">
      <w:pPr>
        <w:pStyle w:val="ListParagraph"/>
        <w:spacing w:after="0" w:line="240" w:lineRule="auto"/>
        <w:rPr>
          <w:rFonts w:ascii="Arial" w:eastAsia="Arial Narrow" w:hAnsi="Arial" w:cs="Arial"/>
          <w:color w:val="000000"/>
        </w:rPr>
      </w:pPr>
    </w:p>
    <w:p w14:paraId="057F241E" w14:textId="77777777" w:rsidR="00312FC6" w:rsidRPr="004C4F6D" w:rsidRDefault="003919DE" w:rsidP="004C4F6D">
      <w:pPr>
        <w:pStyle w:val="ListParagraph"/>
        <w:numPr>
          <w:ilvl w:val="1"/>
          <w:numId w:val="42"/>
        </w:numPr>
        <w:spacing w:after="0" w:line="240" w:lineRule="auto"/>
        <w:ind w:left="0" w:firstLine="0"/>
        <w:jc w:val="both"/>
        <w:rPr>
          <w:rFonts w:ascii="Arial" w:eastAsia="Arial Narrow" w:hAnsi="Arial" w:cs="Arial"/>
          <w:b/>
          <w:color w:val="000000"/>
        </w:rPr>
      </w:pPr>
      <w:r w:rsidRPr="004C4F6D">
        <w:rPr>
          <w:rFonts w:ascii="Arial" w:eastAsia="Arial Narrow" w:hAnsi="Arial" w:cs="Arial"/>
          <w:b/>
          <w:color w:val="000000"/>
        </w:rPr>
        <w:t>We recommended and Management agreed to:</w:t>
      </w:r>
    </w:p>
    <w:p w14:paraId="7999495E" w14:textId="77777777" w:rsidR="00312FC6" w:rsidRPr="004C4F6D" w:rsidRDefault="00312FC6" w:rsidP="004C4F6D">
      <w:pPr>
        <w:pStyle w:val="ListParagraph"/>
        <w:spacing w:after="0" w:line="240" w:lineRule="auto"/>
        <w:rPr>
          <w:rFonts w:ascii="Arial" w:eastAsia="Arial Narrow" w:hAnsi="Arial" w:cs="Arial"/>
          <w:b/>
          <w:color w:val="000000"/>
        </w:rPr>
      </w:pPr>
    </w:p>
    <w:p w14:paraId="08A09D61" w14:textId="75F5525F" w:rsidR="00312FC6" w:rsidRPr="004C4F6D" w:rsidRDefault="003919DE" w:rsidP="004C4F6D">
      <w:pPr>
        <w:pStyle w:val="ListParagraph"/>
        <w:numPr>
          <w:ilvl w:val="1"/>
          <w:numId w:val="22"/>
        </w:numPr>
        <w:spacing w:after="0" w:line="240" w:lineRule="auto"/>
        <w:ind w:left="720" w:firstLine="0"/>
        <w:jc w:val="both"/>
        <w:rPr>
          <w:rFonts w:ascii="Arial" w:eastAsia="Arial Narrow" w:hAnsi="Arial" w:cs="Arial"/>
          <w:b/>
          <w:color w:val="000000"/>
          <w:lang w:eastAsia="en-PH"/>
        </w:rPr>
      </w:pPr>
      <w:r w:rsidRPr="004C4F6D">
        <w:rPr>
          <w:rFonts w:ascii="Arial" w:eastAsia="Arial Narrow" w:hAnsi="Arial" w:cs="Arial"/>
          <w:b/>
          <w:color w:val="000000"/>
          <w:lang w:eastAsia="en-PH"/>
        </w:rPr>
        <w:t>Support GAD programs, activities and projects in the GAD Plan and Budget and the GAD Accomplishment Report with a completed/finalized of GAD Agenda, to comply with PCW NEDA DBM Joint Memorandum Circular (JMC) No. 2012</w:t>
      </w:r>
      <w:r w:rsidR="00A567B1">
        <w:rPr>
          <w:rFonts w:ascii="Arial" w:eastAsia="Arial Narrow" w:hAnsi="Arial" w:cs="Arial"/>
          <w:b/>
          <w:color w:val="000000"/>
          <w:lang w:eastAsia="en-PH"/>
        </w:rPr>
        <w:t>-</w:t>
      </w:r>
      <w:r w:rsidRPr="004C4F6D">
        <w:rPr>
          <w:rFonts w:ascii="Arial" w:eastAsia="Arial Narrow" w:hAnsi="Arial" w:cs="Arial"/>
          <w:b/>
          <w:color w:val="000000"/>
          <w:lang w:eastAsia="en-PH"/>
        </w:rPr>
        <w:t>01 on Guidelines for the Preparation of Annual Gender and Development (GAD) Plans and Budgets and Accomplishment Reports to Implement the Magna Carta of Women;</w:t>
      </w:r>
    </w:p>
    <w:p w14:paraId="14C23A07" w14:textId="77777777" w:rsidR="00312FC6" w:rsidRPr="004C4F6D" w:rsidRDefault="00312FC6" w:rsidP="004C4F6D">
      <w:pPr>
        <w:pStyle w:val="ListParagraph"/>
        <w:spacing w:after="0" w:line="240" w:lineRule="auto"/>
        <w:jc w:val="both"/>
        <w:rPr>
          <w:rFonts w:ascii="Arial" w:eastAsia="Arial Narrow" w:hAnsi="Arial" w:cs="Arial"/>
          <w:b/>
          <w:color w:val="000000"/>
          <w:lang w:eastAsia="en-PH"/>
        </w:rPr>
      </w:pPr>
    </w:p>
    <w:p w14:paraId="7A38E353" w14:textId="686BCAAD" w:rsidR="00312FC6" w:rsidRPr="004C4F6D" w:rsidRDefault="003919DE" w:rsidP="004C4F6D">
      <w:pPr>
        <w:pStyle w:val="ListParagraph"/>
        <w:numPr>
          <w:ilvl w:val="1"/>
          <w:numId w:val="22"/>
        </w:numPr>
        <w:spacing w:after="0" w:line="240" w:lineRule="auto"/>
        <w:ind w:left="720" w:firstLine="0"/>
        <w:jc w:val="both"/>
        <w:rPr>
          <w:rFonts w:ascii="Arial" w:eastAsia="Arial Narrow" w:hAnsi="Arial" w:cs="Arial"/>
          <w:b/>
          <w:color w:val="000000"/>
          <w:lang w:eastAsia="en-PH"/>
        </w:rPr>
      </w:pPr>
      <w:r w:rsidRPr="004C4F6D">
        <w:rPr>
          <w:rFonts w:ascii="Arial" w:eastAsia="Arial Narrow" w:hAnsi="Arial" w:cs="Arial"/>
          <w:b/>
          <w:color w:val="000000"/>
          <w:lang w:eastAsia="en-PH"/>
        </w:rPr>
        <w:t>Subject the GAD Plan and Budget and the GAD Accomplishment Report to the review of the Executive Committee of the GFPS of the Bank prior to submission to PCW using the GAD Agenda as basis</w:t>
      </w:r>
      <w:r w:rsidR="00A567B1">
        <w:rPr>
          <w:rFonts w:ascii="Arial" w:eastAsia="Arial Narrow" w:hAnsi="Arial" w:cs="Arial"/>
          <w:b/>
          <w:color w:val="000000"/>
          <w:lang w:eastAsia="en-PH"/>
        </w:rPr>
        <w:t>, to conform to PCW MC No. 2011-</w:t>
      </w:r>
      <w:r w:rsidRPr="004C4F6D">
        <w:rPr>
          <w:rFonts w:ascii="Arial" w:eastAsia="Arial Narrow" w:hAnsi="Arial" w:cs="Arial"/>
          <w:b/>
          <w:color w:val="000000"/>
          <w:lang w:eastAsia="en-PH"/>
        </w:rPr>
        <w:t>11 and LBP Special Order No. 0225 series of 2019; and</w:t>
      </w:r>
    </w:p>
    <w:p w14:paraId="7375DD9C" w14:textId="77777777" w:rsidR="00312FC6" w:rsidRPr="004C4F6D" w:rsidRDefault="00312FC6" w:rsidP="004C4F6D">
      <w:pPr>
        <w:pStyle w:val="ListParagraph"/>
        <w:rPr>
          <w:rFonts w:ascii="Arial" w:eastAsia="Arial Narrow" w:hAnsi="Arial" w:cs="Arial"/>
          <w:b/>
          <w:color w:val="000000"/>
          <w:lang w:eastAsia="en-PH"/>
        </w:rPr>
      </w:pPr>
    </w:p>
    <w:p w14:paraId="0BC3B09F" w14:textId="564DA193" w:rsidR="00312FC6" w:rsidRPr="004C4F6D" w:rsidRDefault="003919DE" w:rsidP="004C4F6D">
      <w:pPr>
        <w:pStyle w:val="ListParagraph"/>
        <w:numPr>
          <w:ilvl w:val="1"/>
          <w:numId w:val="22"/>
        </w:numPr>
        <w:spacing w:after="0" w:line="240" w:lineRule="auto"/>
        <w:ind w:left="720" w:firstLine="0"/>
        <w:jc w:val="both"/>
        <w:rPr>
          <w:rFonts w:ascii="Arial" w:eastAsia="Arial Narrow" w:hAnsi="Arial" w:cs="Arial"/>
          <w:b/>
          <w:color w:val="000000"/>
          <w:lang w:eastAsia="en-PH"/>
        </w:rPr>
      </w:pPr>
      <w:r w:rsidRPr="004C4F6D">
        <w:rPr>
          <w:rFonts w:ascii="Arial" w:eastAsia="Arial Narrow" w:hAnsi="Arial" w:cs="Arial"/>
          <w:b/>
          <w:color w:val="000000"/>
          <w:lang w:eastAsia="en-PH"/>
        </w:rPr>
        <w:t>Maximize utilization of GAD budget to at least 5</w:t>
      </w:r>
      <w:r w:rsidR="00624F80" w:rsidRPr="004C4F6D">
        <w:rPr>
          <w:rFonts w:ascii="Arial" w:eastAsia="Arial Narrow" w:hAnsi="Arial" w:cs="Arial"/>
          <w:b/>
          <w:color w:val="000000"/>
          <w:lang w:eastAsia="en-PH"/>
        </w:rPr>
        <w:t xml:space="preserve"> per cent</w:t>
      </w:r>
      <w:r w:rsidRPr="004C4F6D">
        <w:rPr>
          <w:rFonts w:ascii="Arial" w:eastAsia="Arial Narrow" w:hAnsi="Arial" w:cs="Arial"/>
          <w:b/>
          <w:color w:val="000000"/>
          <w:lang w:eastAsia="en-PH"/>
        </w:rPr>
        <w:t xml:space="preserve"> of the Corporate Operating Budget to align with paragraph 6.1 of the PCW NEDA DBM Joint Circular No. 2012</w:t>
      </w:r>
      <w:r w:rsidR="00A567B1">
        <w:rPr>
          <w:rFonts w:ascii="Arial" w:eastAsia="Arial Narrow" w:hAnsi="Arial" w:cs="Arial"/>
          <w:b/>
          <w:color w:val="000000"/>
          <w:lang w:eastAsia="en-PH"/>
        </w:rPr>
        <w:t>-</w:t>
      </w:r>
      <w:r w:rsidRPr="004C4F6D">
        <w:rPr>
          <w:rFonts w:ascii="Arial" w:eastAsia="Arial Narrow" w:hAnsi="Arial" w:cs="Arial"/>
          <w:b/>
          <w:color w:val="000000"/>
          <w:lang w:eastAsia="en-PH"/>
        </w:rPr>
        <w:t>01 requiring “at least five per cent (5%) of the total agency budget appropriations authorized under the annual General Appropriations Act shall correspond to activities supporting GAD plans and programs.”</w:t>
      </w:r>
    </w:p>
    <w:p w14:paraId="6103A7E2" w14:textId="77777777" w:rsidR="00312FC6" w:rsidRPr="004C4F6D" w:rsidRDefault="00312FC6" w:rsidP="004C4F6D">
      <w:pPr>
        <w:pStyle w:val="ListParagraph"/>
        <w:spacing w:after="0" w:line="240" w:lineRule="auto"/>
        <w:rPr>
          <w:rFonts w:ascii="Arial" w:eastAsia="Arial Narrow" w:hAnsi="Arial" w:cs="Arial"/>
          <w:lang w:eastAsia="en-PH"/>
        </w:rPr>
      </w:pPr>
    </w:p>
    <w:p w14:paraId="65145FD6" w14:textId="3D8E9E39" w:rsidR="00312FC6" w:rsidRPr="004C4F6D" w:rsidRDefault="002C4067" w:rsidP="004C4F6D">
      <w:pPr>
        <w:pStyle w:val="ListParagraph"/>
        <w:numPr>
          <w:ilvl w:val="1"/>
          <w:numId w:val="42"/>
        </w:numPr>
        <w:spacing w:after="0" w:line="240" w:lineRule="auto"/>
        <w:ind w:left="0" w:firstLine="0"/>
        <w:jc w:val="both"/>
        <w:rPr>
          <w:rFonts w:ascii="Arial" w:eastAsia="Arial Narrow" w:hAnsi="Arial" w:cs="Arial"/>
        </w:rPr>
      </w:pPr>
      <w:r w:rsidRPr="004C4F6D">
        <w:rPr>
          <w:rFonts w:ascii="Arial" w:eastAsia="Arial Narrow" w:hAnsi="Arial" w:cs="Arial"/>
          <w:lang w:eastAsia="en-PH"/>
        </w:rPr>
        <w:t>M</w:t>
      </w:r>
      <w:r w:rsidR="003919DE" w:rsidRPr="004C4F6D">
        <w:rPr>
          <w:rFonts w:ascii="Arial" w:eastAsia="Arial Narrow" w:hAnsi="Arial" w:cs="Arial"/>
          <w:lang w:eastAsia="en-PH"/>
        </w:rPr>
        <w:t xml:space="preserve">anagement </w:t>
      </w:r>
      <w:r w:rsidRPr="004C4F6D">
        <w:rPr>
          <w:rFonts w:ascii="Arial" w:eastAsia="Arial Narrow" w:hAnsi="Arial" w:cs="Arial"/>
          <w:lang w:eastAsia="en-PH"/>
        </w:rPr>
        <w:t>committed to</w:t>
      </w:r>
      <w:r w:rsidR="003919DE" w:rsidRPr="004C4F6D">
        <w:rPr>
          <w:rFonts w:ascii="Arial" w:eastAsia="Arial Narrow" w:hAnsi="Arial" w:cs="Arial"/>
          <w:lang w:eastAsia="en-PH"/>
        </w:rPr>
        <w:t xml:space="preserve"> continue</w:t>
      </w:r>
      <w:r w:rsidR="00FB301A" w:rsidRPr="004C4F6D">
        <w:rPr>
          <w:rFonts w:ascii="Arial" w:eastAsia="Arial Narrow" w:hAnsi="Arial" w:cs="Arial"/>
          <w:lang w:eastAsia="en-PH"/>
        </w:rPr>
        <w:t xml:space="preserve"> to undertake actions towards the implementation of recommendations on GAD issues.</w:t>
      </w:r>
      <w:r w:rsidR="003919DE" w:rsidRPr="004C4F6D">
        <w:rPr>
          <w:rFonts w:ascii="Arial" w:eastAsia="Arial Narrow" w:hAnsi="Arial" w:cs="Arial"/>
          <w:lang w:eastAsia="en-PH"/>
        </w:rPr>
        <w:t xml:space="preserve"> </w:t>
      </w:r>
    </w:p>
    <w:p w14:paraId="23400215" w14:textId="63F4C1A1" w:rsidR="00085BCE" w:rsidRDefault="00085BCE" w:rsidP="004C4F6D">
      <w:pPr>
        <w:spacing w:after="0" w:line="240" w:lineRule="auto"/>
        <w:ind w:right="174"/>
        <w:jc w:val="both"/>
        <w:rPr>
          <w:rFonts w:ascii="Arial" w:eastAsia="Arial Narrow" w:hAnsi="Arial" w:cs="Arial"/>
          <w:color w:val="000000"/>
          <w:lang w:eastAsia="en-PH"/>
        </w:rPr>
      </w:pPr>
    </w:p>
    <w:p w14:paraId="3FB520EB" w14:textId="77777777" w:rsidR="00876013" w:rsidRPr="004C4F6D" w:rsidRDefault="00876013" w:rsidP="004C4F6D">
      <w:pPr>
        <w:spacing w:after="0" w:line="240" w:lineRule="auto"/>
        <w:ind w:right="174"/>
        <w:jc w:val="both"/>
        <w:rPr>
          <w:rFonts w:ascii="Arial" w:eastAsia="Arial Narrow" w:hAnsi="Arial" w:cs="Arial"/>
          <w:color w:val="000000"/>
          <w:lang w:eastAsia="en-PH"/>
        </w:rPr>
      </w:pPr>
    </w:p>
    <w:p w14:paraId="415E2C41" w14:textId="77777777" w:rsidR="00312FC6" w:rsidRPr="004C4F6D" w:rsidRDefault="003919DE" w:rsidP="004C4F6D">
      <w:pPr>
        <w:spacing w:after="0" w:line="240" w:lineRule="auto"/>
        <w:rPr>
          <w:rFonts w:ascii="Arial" w:eastAsia="Times New Roman" w:hAnsi="Arial" w:cs="Arial"/>
          <w:b/>
          <w:bCs/>
        </w:rPr>
      </w:pPr>
      <w:r w:rsidRPr="004C4F6D">
        <w:rPr>
          <w:rFonts w:ascii="Arial" w:eastAsia="Times New Roman" w:hAnsi="Arial" w:cs="Arial"/>
          <w:b/>
          <w:bCs/>
        </w:rPr>
        <w:t xml:space="preserve">Compliance with Republic Act No. 7656 </w:t>
      </w:r>
    </w:p>
    <w:p w14:paraId="54D49327" w14:textId="77777777" w:rsidR="00312FC6" w:rsidRPr="004C4F6D" w:rsidRDefault="00312FC6" w:rsidP="004C4F6D">
      <w:pPr>
        <w:pStyle w:val="ListParagraph"/>
        <w:spacing w:after="0" w:line="240" w:lineRule="auto"/>
        <w:ind w:left="360"/>
        <w:jc w:val="both"/>
        <w:rPr>
          <w:rFonts w:ascii="Arial" w:eastAsia="Times New Roman" w:hAnsi="Arial" w:cs="Arial"/>
          <w:bCs/>
        </w:rPr>
      </w:pPr>
    </w:p>
    <w:p w14:paraId="7A1E1B54" w14:textId="77777777" w:rsidR="00312FC6" w:rsidRPr="004C4F6D" w:rsidRDefault="003919DE" w:rsidP="004C4F6D">
      <w:pPr>
        <w:pStyle w:val="ListParagraph"/>
        <w:numPr>
          <w:ilvl w:val="0"/>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t>Parent</w:t>
      </w:r>
    </w:p>
    <w:p w14:paraId="700B4F63" w14:textId="77777777" w:rsidR="00312FC6" w:rsidRPr="004C4F6D" w:rsidRDefault="00312FC6" w:rsidP="004C4F6D">
      <w:pPr>
        <w:spacing w:after="0" w:line="240" w:lineRule="auto"/>
        <w:jc w:val="both"/>
        <w:rPr>
          <w:rFonts w:ascii="Arial" w:eastAsia="Times New Roman" w:hAnsi="Arial" w:cs="Arial"/>
          <w:bCs/>
        </w:rPr>
      </w:pPr>
    </w:p>
    <w:p w14:paraId="7CF17C20" w14:textId="77777777" w:rsidR="00312FC6" w:rsidRPr="004C4F6D" w:rsidRDefault="003919DE" w:rsidP="004C4F6D">
      <w:pPr>
        <w:spacing w:after="0" w:line="240" w:lineRule="auto"/>
        <w:jc w:val="both"/>
        <w:rPr>
          <w:rFonts w:ascii="Arial" w:eastAsia="Times New Roman" w:hAnsi="Arial" w:cs="Arial"/>
          <w:bCs/>
        </w:rPr>
      </w:pPr>
      <w:r w:rsidRPr="004C4F6D">
        <w:rPr>
          <w:rFonts w:ascii="Arial" w:eastAsia="Times New Roman" w:hAnsi="Arial" w:cs="Arial"/>
        </w:rPr>
        <w:t>The</w:t>
      </w:r>
      <w:r w:rsidRPr="004C4F6D">
        <w:rPr>
          <w:rFonts w:ascii="Arial" w:eastAsia="Times New Roman" w:hAnsi="Arial" w:cs="Arial"/>
          <w:bCs/>
        </w:rPr>
        <w:t xml:space="preserve"> LBP Board of Directors in its Board Resolution No. 23-315 dated May 10, 2023 approved the request for dividend relief for CY 2022 net income to the Department of Finance (DOF).  The letter dated May 12, 2023 requesting for dividend relief was duly received by DOF on May 15, 2022.  </w:t>
      </w:r>
    </w:p>
    <w:p w14:paraId="5733DEDF" w14:textId="081FA2D2" w:rsidR="00312FC6" w:rsidRDefault="00312FC6" w:rsidP="004C4F6D">
      <w:pPr>
        <w:spacing w:after="0" w:line="240" w:lineRule="auto"/>
        <w:jc w:val="both"/>
        <w:rPr>
          <w:rFonts w:ascii="Arial" w:eastAsia="Times New Roman" w:hAnsi="Arial" w:cs="Arial"/>
          <w:bCs/>
        </w:rPr>
      </w:pPr>
    </w:p>
    <w:p w14:paraId="40B6168D" w14:textId="29F4A176" w:rsidR="00876013" w:rsidRDefault="00876013" w:rsidP="004C4F6D">
      <w:pPr>
        <w:spacing w:after="0" w:line="240" w:lineRule="auto"/>
        <w:jc w:val="both"/>
        <w:rPr>
          <w:rFonts w:ascii="Arial" w:eastAsia="Times New Roman" w:hAnsi="Arial" w:cs="Arial"/>
          <w:bCs/>
        </w:rPr>
      </w:pPr>
    </w:p>
    <w:p w14:paraId="28E2FFA4" w14:textId="4953AB08" w:rsidR="00876013" w:rsidRDefault="00876013" w:rsidP="004C4F6D">
      <w:pPr>
        <w:spacing w:after="0" w:line="240" w:lineRule="auto"/>
        <w:jc w:val="both"/>
        <w:rPr>
          <w:rFonts w:ascii="Arial" w:eastAsia="Times New Roman" w:hAnsi="Arial" w:cs="Arial"/>
          <w:bCs/>
        </w:rPr>
      </w:pPr>
    </w:p>
    <w:p w14:paraId="29D53856" w14:textId="33EB23AB" w:rsidR="00876013" w:rsidRDefault="00876013" w:rsidP="004C4F6D">
      <w:pPr>
        <w:spacing w:after="0" w:line="240" w:lineRule="auto"/>
        <w:jc w:val="both"/>
        <w:rPr>
          <w:rFonts w:ascii="Arial" w:eastAsia="Times New Roman" w:hAnsi="Arial" w:cs="Arial"/>
          <w:bCs/>
        </w:rPr>
      </w:pPr>
    </w:p>
    <w:p w14:paraId="5EC432C2" w14:textId="77777777" w:rsidR="00876013" w:rsidRPr="004C4F6D" w:rsidRDefault="00876013" w:rsidP="004C4F6D">
      <w:pPr>
        <w:spacing w:after="0" w:line="240" w:lineRule="auto"/>
        <w:jc w:val="both"/>
        <w:rPr>
          <w:rFonts w:ascii="Arial" w:eastAsia="Times New Roman" w:hAnsi="Arial" w:cs="Arial"/>
          <w:bCs/>
        </w:rPr>
      </w:pPr>
    </w:p>
    <w:p w14:paraId="7BF9E59A" w14:textId="77777777"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lastRenderedPageBreak/>
        <w:t>Subsidiaries</w:t>
      </w:r>
    </w:p>
    <w:p w14:paraId="3CEA47EC" w14:textId="77777777" w:rsidR="00312FC6" w:rsidRPr="004C4F6D" w:rsidRDefault="00312FC6" w:rsidP="004C4F6D">
      <w:pPr>
        <w:spacing w:after="0" w:line="240" w:lineRule="auto"/>
        <w:jc w:val="both"/>
        <w:rPr>
          <w:rFonts w:ascii="Arial" w:eastAsia="Times New Roman" w:hAnsi="Arial" w:cs="Arial"/>
          <w:bCs/>
        </w:rPr>
      </w:pPr>
    </w:p>
    <w:p w14:paraId="02D5EFB2" w14:textId="63377FE3" w:rsidR="00312FC6" w:rsidRPr="004C4F6D" w:rsidRDefault="003919DE" w:rsidP="004C4F6D">
      <w:pPr>
        <w:tabs>
          <w:tab w:val="left" w:pos="0"/>
        </w:tabs>
        <w:spacing w:after="0" w:line="240" w:lineRule="auto"/>
        <w:jc w:val="both"/>
        <w:rPr>
          <w:rFonts w:ascii="Arial" w:eastAsia="Times New Roman" w:hAnsi="Arial" w:cs="Arial"/>
          <w:bCs/>
        </w:rPr>
      </w:pPr>
      <w:r w:rsidRPr="004C4F6D">
        <w:rPr>
          <w:rFonts w:ascii="Arial" w:eastAsia="Times New Roman" w:hAnsi="Arial" w:cs="Arial"/>
          <w:bCs/>
        </w:rPr>
        <w:t>In compliance with Republic Act No. 7656, three subsidiaries declared and remitted cash dividends totaling P240.721 million to the Bureau of the Treasury (BTr) for CY 2022 net income, details as follows:</w:t>
      </w:r>
    </w:p>
    <w:p w14:paraId="645933AA" w14:textId="77777777" w:rsidR="00312FC6" w:rsidRPr="004C4F6D" w:rsidRDefault="003919DE" w:rsidP="004C4F6D">
      <w:pPr>
        <w:spacing w:after="0" w:line="240" w:lineRule="auto"/>
        <w:jc w:val="both"/>
        <w:rPr>
          <w:rFonts w:ascii="Arial" w:eastAsia="Times New Roman" w:hAnsi="Arial" w:cs="Arial"/>
          <w:bCs/>
        </w:rPr>
      </w:pPr>
      <w:r w:rsidRPr="004C4F6D">
        <w:rPr>
          <w:rFonts w:ascii="Arial" w:eastAsia="Times New Roman" w:hAnsi="Arial" w:cs="Arial"/>
          <w:sz w:val="24"/>
          <w:szCs w:val="24"/>
          <w:lang w:val="en-US"/>
        </w:rPr>
        <w:t xml:space="preserve"> </w:t>
      </w:r>
    </w:p>
    <w:tbl>
      <w:tblPr>
        <w:tblW w:w="8611" w:type="dxa"/>
        <w:tblInd w:w="108" w:type="dxa"/>
        <w:tblLook w:val="04A0" w:firstRow="1" w:lastRow="0" w:firstColumn="1" w:lastColumn="0" w:noHBand="0" w:noVBand="1"/>
      </w:tblPr>
      <w:tblGrid>
        <w:gridCol w:w="6210"/>
        <w:gridCol w:w="2401"/>
      </w:tblGrid>
      <w:tr w:rsidR="00312FC6" w:rsidRPr="004C4F6D" w14:paraId="6D140504" w14:textId="77777777">
        <w:trPr>
          <w:trHeight w:val="38"/>
          <w:tblHeader/>
        </w:trPr>
        <w:tc>
          <w:tcPr>
            <w:tcW w:w="6210" w:type="dxa"/>
            <w:vMerge w:val="restart"/>
            <w:tcBorders>
              <w:top w:val="single" w:sz="4" w:space="0" w:color="auto"/>
              <w:left w:val="nil"/>
              <w:bottom w:val="single" w:sz="4" w:space="0" w:color="000000"/>
              <w:right w:val="nil"/>
            </w:tcBorders>
            <w:shd w:val="clear" w:color="auto" w:fill="auto"/>
            <w:noWrap/>
            <w:vAlign w:val="center"/>
          </w:tcPr>
          <w:p w14:paraId="4D1FDCD9" w14:textId="77777777" w:rsidR="00312FC6" w:rsidRPr="004C4F6D" w:rsidRDefault="003919DE" w:rsidP="004C4F6D">
            <w:pPr>
              <w:spacing w:after="0" w:line="240" w:lineRule="auto"/>
              <w:jc w:val="center"/>
              <w:rPr>
                <w:rFonts w:ascii="Arial" w:eastAsia="Times New Roman" w:hAnsi="Arial" w:cs="Arial"/>
                <w:b/>
                <w:bCs/>
                <w:sz w:val="20"/>
                <w:szCs w:val="20"/>
                <w:lang w:val="en-US"/>
              </w:rPr>
            </w:pPr>
            <w:r w:rsidRPr="004C4F6D">
              <w:rPr>
                <w:rFonts w:ascii="Arial" w:eastAsia="Times New Roman" w:hAnsi="Arial" w:cs="Arial"/>
                <w:b/>
                <w:bCs/>
                <w:sz w:val="20"/>
                <w:szCs w:val="20"/>
                <w:lang w:val="en-US"/>
              </w:rPr>
              <w:t>Name of Subsidiaries</w:t>
            </w:r>
          </w:p>
        </w:tc>
        <w:tc>
          <w:tcPr>
            <w:tcW w:w="2401" w:type="dxa"/>
            <w:tcBorders>
              <w:top w:val="single" w:sz="4" w:space="0" w:color="auto"/>
              <w:left w:val="nil"/>
              <w:bottom w:val="nil"/>
              <w:right w:val="nil"/>
            </w:tcBorders>
            <w:shd w:val="clear" w:color="auto" w:fill="auto"/>
            <w:noWrap/>
            <w:vAlign w:val="center"/>
          </w:tcPr>
          <w:p w14:paraId="5A684460" w14:textId="77777777" w:rsidR="00312FC6" w:rsidRPr="004C4F6D" w:rsidRDefault="003919DE" w:rsidP="004C4F6D">
            <w:pPr>
              <w:spacing w:after="0" w:line="240" w:lineRule="auto"/>
              <w:jc w:val="center"/>
              <w:rPr>
                <w:rFonts w:ascii="Arial" w:eastAsia="Times New Roman" w:hAnsi="Arial" w:cs="Arial"/>
                <w:b/>
                <w:bCs/>
                <w:sz w:val="20"/>
                <w:szCs w:val="20"/>
                <w:lang w:val="en-US"/>
              </w:rPr>
            </w:pPr>
            <w:r w:rsidRPr="004C4F6D">
              <w:rPr>
                <w:rFonts w:ascii="Arial" w:eastAsia="Times New Roman" w:hAnsi="Arial" w:cs="Arial"/>
                <w:b/>
                <w:bCs/>
                <w:sz w:val="20"/>
                <w:szCs w:val="20"/>
                <w:lang w:val="en-US"/>
              </w:rPr>
              <w:t>Amount</w:t>
            </w:r>
          </w:p>
        </w:tc>
      </w:tr>
      <w:tr w:rsidR="00312FC6" w:rsidRPr="004C4F6D" w14:paraId="0440AE00" w14:textId="77777777">
        <w:trPr>
          <w:trHeight w:val="38"/>
          <w:tblHeader/>
        </w:trPr>
        <w:tc>
          <w:tcPr>
            <w:tcW w:w="6210" w:type="dxa"/>
            <w:vMerge/>
            <w:tcBorders>
              <w:top w:val="single" w:sz="4" w:space="0" w:color="auto"/>
              <w:left w:val="nil"/>
              <w:bottom w:val="single" w:sz="4" w:space="0" w:color="000000"/>
              <w:right w:val="nil"/>
            </w:tcBorders>
            <w:vAlign w:val="center"/>
          </w:tcPr>
          <w:p w14:paraId="34116B1B" w14:textId="77777777" w:rsidR="00312FC6" w:rsidRPr="004C4F6D" w:rsidRDefault="00312FC6" w:rsidP="004C4F6D">
            <w:pPr>
              <w:spacing w:after="0" w:line="240" w:lineRule="auto"/>
              <w:rPr>
                <w:rFonts w:ascii="Arial" w:eastAsia="Times New Roman" w:hAnsi="Arial" w:cs="Arial"/>
                <w:b/>
                <w:bCs/>
                <w:sz w:val="20"/>
                <w:szCs w:val="20"/>
                <w:lang w:val="en-US"/>
              </w:rPr>
            </w:pPr>
          </w:p>
        </w:tc>
        <w:tc>
          <w:tcPr>
            <w:tcW w:w="2401" w:type="dxa"/>
            <w:tcBorders>
              <w:top w:val="nil"/>
              <w:left w:val="nil"/>
              <w:bottom w:val="single" w:sz="4" w:space="0" w:color="auto"/>
              <w:right w:val="nil"/>
            </w:tcBorders>
            <w:shd w:val="clear" w:color="auto" w:fill="auto"/>
            <w:noWrap/>
            <w:vAlign w:val="center"/>
          </w:tcPr>
          <w:p w14:paraId="1B46C001" w14:textId="77777777" w:rsidR="00312FC6" w:rsidRPr="004C4F6D" w:rsidRDefault="003919DE" w:rsidP="004C4F6D">
            <w:pPr>
              <w:spacing w:after="0" w:line="240" w:lineRule="auto"/>
              <w:jc w:val="center"/>
              <w:rPr>
                <w:rFonts w:ascii="Arial" w:eastAsia="Times New Roman" w:hAnsi="Arial" w:cs="Arial"/>
                <w:b/>
                <w:sz w:val="20"/>
                <w:szCs w:val="20"/>
                <w:lang w:val="en-US"/>
              </w:rPr>
            </w:pPr>
            <w:r w:rsidRPr="004C4F6D">
              <w:rPr>
                <w:rFonts w:ascii="Arial" w:eastAsia="Times New Roman" w:hAnsi="Arial" w:cs="Arial"/>
                <w:b/>
                <w:sz w:val="20"/>
                <w:szCs w:val="20"/>
                <w:lang w:val="en-US"/>
              </w:rPr>
              <w:t>(In million pesos)</w:t>
            </w:r>
          </w:p>
        </w:tc>
      </w:tr>
      <w:tr w:rsidR="00312FC6" w:rsidRPr="004C4F6D" w14:paraId="3B057B58" w14:textId="77777777">
        <w:trPr>
          <w:trHeight w:val="33"/>
        </w:trPr>
        <w:tc>
          <w:tcPr>
            <w:tcW w:w="6210" w:type="dxa"/>
            <w:tcBorders>
              <w:top w:val="nil"/>
              <w:left w:val="nil"/>
              <w:bottom w:val="nil"/>
              <w:right w:val="nil"/>
            </w:tcBorders>
            <w:shd w:val="clear" w:color="auto" w:fill="auto"/>
            <w:noWrap/>
            <w:vAlign w:val="center"/>
          </w:tcPr>
          <w:p w14:paraId="405FDBFD" w14:textId="77777777" w:rsidR="00312FC6" w:rsidRPr="004C4F6D" w:rsidRDefault="003919DE" w:rsidP="004C4F6D">
            <w:pPr>
              <w:spacing w:after="0" w:line="240" w:lineRule="auto"/>
              <w:jc w:val="both"/>
              <w:rPr>
                <w:rFonts w:ascii="Arial" w:eastAsia="Times New Roman" w:hAnsi="Arial" w:cs="Arial"/>
                <w:sz w:val="20"/>
                <w:szCs w:val="20"/>
                <w:lang w:val="en-US"/>
              </w:rPr>
            </w:pPr>
            <w:r w:rsidRPr="004C4F6D">
              <w:rPr>
                <w:rFonts w:ascii="Arial" w:eastAsia="Times New Roman" w:hAnsi="Arial" w:cs="Arial"/>
                <w:sz w:val="20"/>
                <w:szCs w:val="20"/>
                <w:lang w:val="en-US"/>
              </w:rPr>
              <w:t xml:space="preserve">LBP Leasing and Finance Corporation </w:t>
            </w:r>
          </w:p>
        </w:tc>
        <w:tc>
          <w:tcPr>
            <w:tcW w:w="2401" w:type="dxa"/>
            <w:tcBorders>
              <w:top w:val="nil"/>
              <w:left w:val="nil"/>
              <w:bottom w:val="nil"/>
              <w:right w:val="nil"/>
            </w:tcBorders>
            <w:shd w:val="clear" w:color="auto" w:fill="auto"/>
            <w:noWrap/>
            <w:vAlign w:val="center"/>
          </w:tcPr>
          <w:p w14:paraId="38875646" w14:textId="77777777" w:rsidR="00312FC6" w:rsidRPr="004C4F6D" w:rsidRDefault="003919DE" w:rsidP="004C4F6D">
            <w:pPr>
              <w:spacing w:after="0" w:line="240" w:lineRule="auto"/>
              <w:ind w:right="487"/>
              <w:jc w:val="right"/>
              <w:textAlignment w:val="center"/>
              <w:rPr>
                <w:rFonts w:ascii="Arial" w:eastAsia="Times New Roman" w:hAnsi="Arial" w:cs="Arial"/>
                <w:sz w:val="20"/>
                <w:szCs w:val="20"/>
                <w:lang w:val="en-US"/>
              </w:rPr>
            </w:pPr>
            <w:r w:rsidRPr="004C4F6D">
              <w:rPr>
                <w:rFonts w:ascii="Arial" w:eastAsia="Times New Roman" w:hAnsi="Arial" w:cs="Arial"/>
                <w:sz w:val="20"/>
                <w:szCs w:val="20"/>
                <w:lang w:val="en-US"/>
              </w:rPr>
              <w:t>54.474</w:t>
            </w:r>
          </w:p>
        </w:tc>
      </w:tr>
      <w:tr w:rsidR="00312FC6" w:rsidRPr="004C4F6D" w14:paraId="28A1A7CB" w14:textId="77777777">
        <w:trPr>
          <w:trHeight w:val="33"/>
        </w:trPr>
        <w:tc>
          <w:tcPr>
            <w:tcW w:w="6210" w:type="dxa"/>
            <w:tcBorders>
              <w:top w:val="nil"/>
              <w:left w:val="nil"/>
              <w:bottom w:val="nil"/>
              <w:right w:val="nil"/>
            </w:tcBorders>
            <w:shd w:val="clear" w:color="auto" w:fill="auto"/>
            <w:noWrap/>
            <w:vAlign w:val="center"/>
          </w:tcPr>
          <w:p w14:paraId="5C59B67C" w14:textId="77777777" w:rsidR="00312FC6" w:rsidRPr="004C4F6D" w:rsidRDefault="003919DE" w:rsidP="004C4F6D">
            <w:pPr>
              <w:spacing w:after="0" w:line="240" w:lineRule="auto"/>
              <w:jc w:val="both"/>
              <w:rPr>
                <w:rFonts w:ascii="Arial" w:eastAsia="Times New Roman" w:hAnsi="Arial" w:cs="Arial"/>
                <w:sz w:val="20"/>
                <w:szCs w:val="20"/>
                <w:lang w:val="en-US"/>
              </w:rPr>
            </w:pPr>
            <w:r w:rsidRPr="004C4F6D">
              <w:rPr>
                <w:rFonts w:ascii="Arial" w:eastAsia="Times New Roman" w:hAnsi="Arial" w:cs="Arial"/>
                <w:sz w:val="20"/>
                <w:szCs w:val="20"/>
                <w:lang w:val="en-US"/>
              </w:rPr>
              <w:t>LBP Insurance Brokerage, Inc.</w:t>
            </w:r>
          </w:p>
        </w:tc>
        <w:tc>
          <w:tcPr>
            <w:tcW w:w="2401" w:type="dxa"/>
            <w:tcBorders>
              <w:top w:val="nil"/>
              <w:left w:val="nil"/>
              <w:bottom w:val="nil"/>
              <w:right w:val="nil"/>
            </w:tcBorders>
            <w:shd w:val="clear" w:color="auto" w:fill="auto"/>
            <w:noWrap/>
            <w:vAlign w:val="center"/>
          </w:tcPr>
          <w:p w14:paraId="78BA92E1" w14:textId="77777777" w:rsidR="00312FC6" w:rsidRPr="004C4F6D" w:rsidRDefault="003919DE" w:rsidP="004C4F6D">
            <w:pPr>
              <w:spacing w:after="0" w:line="240" w:lineRule="auto"/>
              <w:ind w:right="487"/>
              <w:jc w:val="right"/>
              <w:textAlignment w:val="center"/>
              <w:rPr>
                <w:rFonts w:ascii="Arial" w:eastAsia="Times New Roman" w:hAnsi="Arial" w:cs="Arial"/>
                <w:sz w:val="20"/>
                <w:szCs w:val="20"/>
                <w:lang w:val="en-US"/>
              </w:rPr>
            </w:pPr>
            <w:r w:rsidRPr="004C4F6D">
              <w:rPr>
                <w:rFonts w:ascii="Arial" w:eastAsia="Times New Roman" w:hAnsi="Arial" w:cs="Arial"/>
                <w:sz w:val="20"/>
                <w:szCs w:val="20"/>
                <w:lang w:val="en-US"/>
              </w:rPr>
              <w:t>151.604</w:t>
            </w:r>
          </w:p>
        </w:tc>
      </w:tr>
      <w:tr w:rsidR="00312FC6" w:rsidRPr="004C4F6D" w14:paraId="0400CA54" w14:textId="77777777">
        <w:trPr>
          <w:trHeight w:val="33"/>
        </w:trPr>
        <w:tc>
          <w:tcPr>
            <w:tcW w:w="6210" w:type="dxa"/>
            <w:tcBorders>
              <w:top w:val="nil"/>
              <w:left w:val="nil"/>
              <w:bottom w:val="nil"/>
              <w:right w:val="nil"/>
            </w:tcBorders>
            <w:shd w:val="clear" w:color="auto" w:fill="auto"/>
            <w:noWrap/>
            <w:vAlign w:val="center"/>
          </w:tcPr>
          <w:p w14:paraId="5CAED981" w14:textId="77777777" w:rsidR="00312FC6" w:rsidRPr="004C4F6D" w:rsidRDefault="003919DE" w:rsidP="004C4F6D">
            <w:pPr>
              <w:spacing w:after="0" w:line="240" w:lineRule="auto"/>
              <w:jc w:val="both"/>
              <w:rPr>
                <w:rFonts w:ascii="Arial" w:eastAsia="Times New Roman" w:hAnsi="Arial" w:cs="Arial"/>
                <w:sz w:val="20"/>
                <w:szCs w:val="20"/>
                <w:lang w:val="en-US"/>
              </w:rPr>
            </w:pPr>
            <w:r w:rsidRPr="004C4F6D">
              <w:rPr>
                <w:rFonts w:ascii="Arial" w:eastAsia="Times New Roman" w:hAnsi="Arial" w:cs="Arial"/>
                <w:sz w:val="20"/>
                <w:szCs w:val="20"/>
                <w:lang w:val="en-US"/>
              </w:rPr>
              <w:t>LBP Resources and Development Corporation</w:t>
            </w:r>
          </w:p>
        </w:tc>
        <w:tc>
          <w:tcPr>
            <w:tcW w:w="2401" w:type="dxa"/>
            <w:tcBorders>
              <w:top w:val="nil"/>
              <w:left w:val="nil"/>
              <w:bottom w:val="nil"/>
              <w:right w:val="nil"/>
            </w:tcBorders>
            <w:shd w:val="clear" w:color="auto" w:fill="auto"/>
            <w:noWrap/>
            <w:vAlign w:val="center"/>
          </w:tcPr>
          <w:p w14:paraId="3ADB23FF" w14:textId="77777777" w:rsidR="00312FC6" w:rsidRPr="004C4F6D" w:rsidRDefault="003919DE" w:rsidP="004C4F6D">
            <w:pPr>
              <w:spacing w:after="0" w:line="240" w:lineRule="auto"/>
              <w:ind w:right="487"/>
              <w:jc w:val="right"/>
              <w:textAlignment w:val="center"/>
              <w:rPr>
                <w:rFonts w:ascii="Arial" w:eastAsia="Times New Roman" w:hAnsi="Arial" w:cs="Arial"/>
                <w:sz w:val="20"/>
                <w:szCs w:val="20"/>
                <w:lang w:val="en-US"/>
              </w:rPr>
            </w:pPr>
            <w:r w:rsidRPr="004C4F6D">
              <w:rPr>
                <w:rFonts w:ascii="Arial" w:eastAsia="Times New Roman" w:hAnsi="Arial" w:cs="Arial"/>
                <w:sz w:val="20"/>
                <w:szCs w:val="20"/>
                <w:lang w:val="en-US"/>
              </w:rPr>
              <w:t>34.643</w:t>
            </w:r>
          </w:p>
        </w:tc>
      </w:tr>
      <w:tr w:rsidR="00312FC6" w:rsidRPr="004C4F6D" w14:paraId="24EA58B1" w14:textId="77777777">
        <w:trPr>
          <w:trHeight w:val="33"/>
        </w:trPr>
        <w:tc>
          <w:tcPr>
            <w:tcW w:w="6210" w:type="dxa"/>
            <w:tcBorders>
              <w:top w:val="single" w:sz="4" w:space="0" w:color="auto"/>
              <w:left w:val="nil"/>
              <w:bottom w:val="double" w:sz="6" w:space="0" w:color="auto"/>
              <w:right w:val="nil"/>
            </w:tcBorders>
            <w:shd w:val="clear" w:color="auto" w:fill="auto"/>
            <w:noWrap/>
            <w:vAlign w:val="center"/>
          </w:tcPr>
          <w:p w14:paraId="2D5EA014" w14:textId="77777777" w:rsidR="00312FC6" w:rsidRPr="004C4F6D" w:rsidRDefault="003919DE" w:rsidP="004C4F6D">
            <w:pPr>
              <w:spacing w:after="0" w:line="240" w:lineRule="auto"/>
              <w:jc w:val="both"/>
              <w:rPr>
                <w:rFonts w:ascii="Arial" w:eastAsia="Times New Roman" w:hAnsi="Arial" w:cs="Arial"/>
                <w:b/>
                <w:sz w:val="20"/>
                <w:szCs w:val="20"/>
                <w:lang w:val="en-US"/>
              </w:rPr>
            </w:pPr>
            <w:r w:rsidRPr="004C4F6D">
              <w:rPr>
                <w:rFonts w:ascii="Arial" w:eastAsia="Times New Roman" w:hAnsi="Arial" w:cs="Arial"/>
                <w:b/>
                <w:sz w:val="20"/>
                <w:szCs w:val="20"/>
                <w:lang w:val="en-US"/>
              </w:rPr>
              <w:t> Total</w:t>
            </w:r>
          </w:p>
        </w:tc>
        <w:tc>
          <w:tcPr>
            <w:tcW w:w="2401" w:type="dxa"/>
            <w:tcBorders>
              <w:top w:val="single" w:sz="4" w:space="0" w:color="auto"/>
              <w:left w:val="nil"/>
              <w:bottom w:val="double" w:sz="6" w:space="0" w:color="auto"/>
              <w:right w:val="nil"/>
            </w:tcBorders>
            <w:shd w:val="clear" w:color="auto" w:fill="auto"/>
            <w:noWrap/>
            <w:vAlign w:val="center"/>
          </w:tcPr>
          <w:p w14:paraId="222FF583" w14:textId="77777777" w:rsidR="00312FC6" w:rsidRPr="004C4F6D" w:rsidRDefault="003919DE" w:rsidP="004C4F6D">
            <w:pPr>
              <w:spacing w:after="0" w:line="240" w:lineRule="auto"/>
              <w:ind w:right="487"/>
              <w:jc w:val="right"/>
              <w:textAlignment w:val="center"/>
              <w:rPr>
                <w:rFonts w:ascii="Arial" w:eastAsia="Times New Roman" w:hAnsi="Arial" w:cs="Arial"/>
                <w:b/>
                <w:sz w:val="20"/>
                <w:szCs w:val="20"/>
                <w:lang w:val="en-US"/>
              </w:rPr>
            </w:pPr>
            <w:r w:rsidRPr="004C4F6D">
              <w:rPr>
                <w:rFonts w:ascii="Arial" w:eastAsia="Times New Roman" w:hAnsi="Arial" w:cs="Arial"/>
                <w:b/>
                <w:sz w:val="20"/>
                <w:szCs w:val="20"/>
                <w:lang w:val="en-US"/>
              </w:rPr>
              <w:t>240.721</w:t>
            </w:r>
          </w:p>
        </w:tc>
      </w:tr>
    </w:tbl>
    <w:p w14:paraId="4D593752" w14:textId="77777777" w:rsidR="00312FC6" w:rsidRPr="004C4F6D" w:rsidRDefault="00312FC6" w:rsidP="004C4F6D">
      <w:pPr>
        <w:spacing w:after="0" w:line="240" w:lineRule="auto"/>
        <w:jc w:val="both"/>
        <w:rPr>
          <w:rFonts w:ascii="Arial" w:eastAsia="Times New Roman" w:hAnsi="Arial" w:cs="Arial"/>
          <w:bCs/>
        </w:rPr>
      </w:pPr>
    </w:p>
    <w:p w14:paraId="190D6473" w14:textId="77777777" w:rsidR="00876013" w:rsidRDefault="00876013" w:rsidP="004C4F6D">
      <w:pPr>
        <w:spacing w:after="0" w:line="240" w:lineRule="auto"/>
        <w:rPr>
          <w:rFonts w:ascii="Arial" w:eastAsia="Times New Roman" w:hAnsi="Arial" w:cs="Arial"/>
          <w:b/>
          <w:bCs/>
        </w:rPr>
      </w:pPr>
    </w:p>
    <w:p w14:paraId="56E2DB91" w14:textId="365FECD4" w:rsidR="00312FC6" w:rsidRPr="004C4F6D" w:rsidRDefault="003919DE" w:rsidP="004C4F6D">
      <w:pPr>
        <w:spacing w:after="0" w:line="240" w:lineRule="auto"/>
        <w:rPr>
          <w:rFonts w:ascii="Arial" w:eastAsia="Times New Roman" w:hAnsi="Arial" w:cs="Arial"/>
          <w:b/>
          <w:bCs/>
        </w:rPr>
      </w:pPr>
      <w:r w:rsidRPr="004C4F6D">
        <w:rPr>
          <w:rFonts w:ascii="Arial" w:eastAsia="Times New Roman" w:hAnsi="Arial" w:cs="Arial"/>
          <w:b/>
          <w:bCs/>
        </w:rPr>
        <w:t>Compliance with Tax Laws</w:t>
      </w:r>
    </w:p>
    <w:p w14:paraId="580E2456" w14:textId="77777777" w:rsidR="00312FC6" w:rsidRPr="004C4F6D" w:rsidRDefault="00312FC6" w:rsidP="004C4F6D">
      <w:pPr>
        <w:spacing w:after="0" w:line="240" w:lineRule="auto"/>
        <w:jc w:val="both"/>
        <w:rPr>
          <w:rFonts w:ascii="Arial" w:eastAsia="Times New Roman" w:hAnsi="Arial" w:cs="Arial"/>
          <w:bCs/>
        </w:rPr>
      </w:pPr>
    </w:p>
    <w:p w14:paraId="3194EF34" w14:textId="77777777" w:rsidR="00312FC6" w:rsidRPr="004C4F6D" w:rsidRDefault="003919DE" w:rsidP="004C4F6D">
      <w:pPr>
        <w:pStyle w:val="ListParagraph"/>
        <w:numPr>
          <w:ilvl w:val="0"/>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t xml:space="preserve">Taxes withheld for the month were remitted on or before the 10th day of the following month, except those withheld for the month of December which were remitted on or before the 15th day of January of the following year. </w:t>
      </w:r>
    </w:p>
    <w:p w14:paraId="39A97050" w14:textId="77777777" w:rsidR="00312FC6" w:rsidRPr="004C4F6D" w:rsidRDefault="00312FC6" w:rsidP="004C4F6D">
      <w:pPr>
        <w:pStyle w:val="ListParagraph"/>
        <w:spacing w:after="0" w:line="240" w:lineRule="auto"/>
        <w:ind w:left="0"/>
        <w:jc w:val="both"/>
        <w:rPr>
          <w:rFonts w:ascii="Arial" w:eastAsia="Times New Roman" w:hAnsi="Arial" w:cs="Arial"/>
          <w:bCs/>
        </w:rPr>
      </w:pPr>
    </w:p>
    <w:p w14:paraId="34467F69" w14:textId="77777777"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t>In compliance with Tax Laws, information on taxes and licenses paid or accrued during the taxable year 2022 were disclosed in Part I of this report, specifically under      Note 26 to the Financial Statements.  The taxes withheld from compensation, benefits and other sources amounting to P4.707 billion</w:t>
      </w:r>
      <w:r w:rsidRPr="004C4F6D">
        <w:rPr>
          <w:rFonts w:ascii="Arial" w:eastAsia="Times New Roman" w:hAnsi="Arial" w:cs="Arial"/>
          <w:bCs/>
          <w:color w:val="FF0000"/>
        </w:rPr>
        <w:t xml:space="preserve"> </w:t>
      </w:r>
      <w:r w:rsidRPr="004C4F6D">
        <w:rPr>
          <w:rFonts w:ascii="Arial" w:eastAsia="Times New Roman" w:hAnsi="Arial" w:cs="Arial"/>
          <w:bCs/>
        </w:rPr>
        <w:t>were remitted to the Bureau of Internal Revenue in accordance with the deadlines on payment/remittance of taxes prescribed by the National Internal Revenue Code.</w:t>
      </w:r>
      <w:r w:rsidRPr="004C4F6D">
        <w:t xml:space="preserve"> </w:t>
      </w:r>
    </w:p>
    <w:p w14:paraId="0F92AA87" w14:textId="77777777" w:rsidR="00312FC6" w:rsidRPr="004C4F6D" w:rsidRDefault="00312FC6" w:rsidP="004C4F6D">
      <w:pPr>
        <w:pStyle w:val="ListParagraph"/>
        <w:spacing w:after="0" w:line="240" w:lineRule="auto"/>
        <w:ind w:left="0"/>
        <w:jc w:val="both"/>
        <w:rPr>
          <w:rFonts w:ascii="Arial" w:eastAsia="Times New Roman" w:hAnsi="Arial" w:cs="Arial"/>
          <w:b/>
          <w:bCs/>
        </w:rPr>
      </w:pPr>
    </w:p>
    <w:p w14:paraId="48D184DD" w14:textId="77777777" w:rsidR="00624F80" w:rsidRPr="004C4F6D" w:rsidRDefault="00624F80" w:rsidP="004C4F6D">
      <w:pPr>
        <w:pStyle w:val="ListParagraph"/>
        <w:spacing w:after="0" w:line="240" w:lineRule="auto"/>
        <w:ind w:left="0"/>
        <w:jc w:val="both"/>
        <w:rPr>
          <w:rFonts w:ascii="Arial" w:eastAsia="Times New Roman" w:hAnsi="Arial" w:cs="Arial"/>
          <w:b/>
          <w:bCs/>
        </w:rPr>
      </w:pPr>
    </w:p>
    <w:p w14:paraId="08A4A62F" w14:textId="77777777" w:rsidR="00312FC6" w:rsidRPr="004C4F6D" w:rsidRDefault="003919DE" w:rsidP="004C4F6D">
      <w:pPr>
        <w:spacing w:after="0" w:line="240" w:lineRule="auto"/>
        <w:rPr>
          <w:rFonts w:ascii="Arial" w:eastAsia="Times New Roman" w:hAnsi="Arial" w:cs="Arial"/>
          <w:b/>
          <w:bCs/>
        </w:rPr>
      </w:pPr>
      <w:r w:rsidRPr="004C4F6D">
        <w:rPr>
          <w:rFonts w:ascii="Arial" w:eastAsia="Times New Roman" w:hAnsi="Arial" w:cs="Arial"/>
          <w:b/>
          <w:bCs/>
        </w:rPr>
        <w:t>Philhealth and Pag-ibig Premiums</w:t>
      </w:r>
    </w:p>
    <w:p w14:paraId="2F8801D6" w14:textId="77777777" w:rsidR="00312FC6" w:rsidRPr="004C4F6D" w:rsidRDefault="00312FC6" w:rsidP="004C4F6D">
      <w:pPr>
        <w:spacing w:after="0" w:line="240" w:lineRule="auto"/>
        <w:jc w:val="both"/>
        <w:rPr>
          <w:rFonts w:ascii="Arial" w:eastAsia="Times New Roman" w:hAnsi="Arial" w:cs="Arial"/>
          <w:bCs/>
        </w:rPr>
      </w:pPr>
    </w:p>
    <w:p w14:paraId="0FBB4164" w14:textId="77777777" w:rsidR="00312FC6" w:rsidRPr="004C4F6D" w:rsidRDefault="003919DE" w:rsidP="004C4F6D">
      <w:pPr>
        <w:pStyle w:val="ListParagraph"/>
        <w:numPr>
          <w:ilvl w:val="0"/>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t>In CY 2022, LBP complied with Title III Rule III, Section 18 of the Implementing Rules and Regulations of Republic Act (R.A) No. 7875 as amended in the payment of national health insurance premium contributions to the Philhealth.</w:t>
      </w:r>
    </w:p>
    <w:p w14:paraId="1DC85A38" w14:textId="77777777" w:rsidR="00312FC6" w:rsidRPr="004C4F6D" w:rsidRDefault="00312FC6" w:rsidP="004C4F6D">
      <w:pPr>
        <w:pStyle w:val="ListParagraph"/>
        <w:spacing w:after="0" w:line="240" w:lineRule="auto"/>
        <w:ind w:left="0"/>
        <w:jc w:val="both"/>
        <w:rPr>
          <w:rFonts w:ascii="Arial" w:eastAsia="Times New Roman" w:hAnsi="Arial" w:cs="Arial"/>
          <w:bCs/>
        </w:rPr>
      </w:pPr>
    </w:p>
    <w:p w14:paraId="2A39D55C" w14:textId="77777777"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t>LBP also complied with Rule VII, Section 3 of the Implementing Rules and Regulations of R.A. No. 9679 in the collection and remittance of contributions to the Pag-ibig Fund.</w:t>
      </w:r>
    </w:p>
    <w:p w14:paraId="07BAFB0C" w14:textId="77777777" w:rsidR="00312FC6" w:rsidRPr="004C4F6D" w:rsidRDefault="00312FC6" w:rsidP="004C4F6D">
      <w:pPr>
        <w:spacing w:after="0" w:line="240" w:lineRule="auto"/>
        <w:jc w:val="both"/>
        <w:rPr>
          <w:rFonts w:ascii="Arial" w:eastAsia="Times New Roman" w:hAnsi="Arial" w:cs="Arial"/>
          <w:bCs/>
        </w:rPr>
      </w:pPr>
    </w:p>
    <w:p w14:paraId="0A21EBD6" w14:textId="77777777" w:rsidR="002C4067" w:rsidRPr="004C4F6D" w:rsidRDefault="002C4067" w:rsidP="004C4F6D">
      <w:pPr>
        <w:spacing w:after="0" w:line="240" w:lineRule="auto"/>
        <w:jc w:val="both"/>
        <w:rPr>
          <w:rFonts w:ascii="Arial" w:eastAsia="Times New Roman" w:hAnsi="Arial" w:cs="Arial"/>
          <w:bCs/>
        </w:rPr>
      </w:pPr>
    </w:p>
    <w:p w14:paraId="2B3DBFEC" w14:textId="77777777" w:rsidR="00312FC6" w:rsidRPr="004C4F6D" w:rsidRDefault="003919DE" w:rsidP="004C4F6D">
      <w:pPr>
        <w:spacing w:after="0" w:line="240" w:lineRule="auto"/>
        <w:rPr>
          <w:rFonts w:ascii="Arial" w:eastAsia="Times New Roman" w:hAnsi="Arial" w:cs="Arial"/>
          <w:b/>
          <w:bCs/>
        </w:rPr>
      </w:pPr>
      <w:r w:rsidRPr="004C4F6D">
        <w:rPr>
          <w:rFonts w:ascii="Arial" w:eastAsia="Times New Roman" w:hAnsi="Arial" w:cs="Arial"/>
          <w:b/>
          <w:bCs/>
        </w:rPr>
        <w:t>GSIS Contributions and Remittances</w:t>
      </w:r>
    </w:p>
    <w:p w14:paraId="7AF87BED" w14:textId="77777777" w:rsidR="00312FC6" w:rsidRPr="004C4F6D" w:rsidRDefault="00312FC6" w:rsidP="004C4F6D">
      <w:pPr>
        <w:spacing w:after="0" w:line="240" w:lineRule="auto"/>
        <w:jc w:val="both"/>
        <w:rPr>
          <w:rFonts w:ascii="Arial" w:eastAsia="Times New Roman" w:hAnsi="Arial" w:cs="Arial"/>
          <w:bCs/>
        </w:rPr>
      </w:pPr>
    </w:p>
    <w:p w14:paraId="29B71FF8" w14:textId="77777777" w:rsidR="00312FC6" w:rsidRPr="004C4F6D" w:rsidRDefault="003919DE" w:rsidP="004C4F6D">
      <w:pPr>
        <w:pStyle w:val="ListParagraph"/>
        <w:numPr>
          <w:ilvl w:val="0"/>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t>In CY 2022, LBP complied with the rules and regulations implementing the GSIS Act of 1997, particularly on the collection and remittance of contributions to GSIS as follows:</w:t>
      </w:r>
    </w:p>
    <w:p w14:paraId="71524415" w14:textId="77777777" w:rsidR="00312FC6" w:rsidRPr="004C4F6D" w:rsidRDefault="00312FC6" w:rsidP="004C4F6D">
      <w:pPr>
        <w:pStyle w:val="ListParagraph"/>
        <w:spacing w:after="0" w:line="240" w:lineRule="auto"/>
        <w:ind w:left="0"/>
        <w:jc w:val="both"/>
        <w:rPr>
          <w:rFonts w:ascii="Arial" w:eastAsia="Times New Roman" w:hAnsi="Arial" w:cs="Arial"/>
          <w:bCs/>
        </w:rPr>
      </w:pPr>
    </w:p>
    <w:p w14:paraId="7C0AD568" w14:textId="77777777" w:rsidR="00312FC6" w:rsidRPr="004C4F6D" w:rsidRDefault="003919DE" w:rsidP="004C4F6D">
      <w:pPr>
        <w:spacing w:after="0" w:line="240" w:lineRule="auto"/>
        <w:ind w:left="720"/>
        <w:jc w:val="both"/>
        <w:rPr>
          <w:rFonts w:ascii="Arial" w:eastAsia="Times New Roman" w:hAnsi="Arial" w:cs="Arial"/>
          <w:bCs/>
        </w:rPr>
      </w:pPr>
      <w:r w:rsidRPr="004C4F6D">
        <w:rPr>
          <w:rFonts w:ascii="Arial" w:eastAsia="Times New Roman" w:hAnsi="Arial" w:cs="Arial"/>
          <w:bCs/>
        </w:rPr>
        <w:t xml:space="preserve">a. </w:t>
      </w:r>
      <w:r w:rsidRPr="004C4F6D">
        <w:rPr>
          <w:rFonts w:ascii="Arial" w:eastAsia="Times New Roman" w:hAnsi="Arial" w:cs="Arial"/>
          <w:bCs/>
        </w:rPr>
        <w:tab/>
        <w:t>Mandatory monthly contribution of covered employees and employer in accordance with Section 18 of the GSIS Act of 1997; and</w:t>
      </w:r>
    </w:p>
    <w:p w14:paraId="46A9F9AE" w14:textId="77777777" w:rsidR="00312FC6" w:rsidRPr="004C4F6D" w:rsidRDefault="00312FC6" w:rsidP="004C4F6D">
      <w:pPr>
        <w:spacing w:after="0" w:line="240" w:lineRule="auto"/>
        <w:ind w:left="720"/>
        <w:jc w:val="both"/>
        <w:rPr>
          <w:rFonts w:ascii="Arial" w:eastAsia="Times New Roman" w:hAnsi="Arial" w:cs="Arial"/>
          <w:bCs/>
        </w:rPr>
      </w:pPr>
    </w:p>
    <w:p w14:paraId="01DC6EA4" w14:textId="4D89D338" w:rsidR="00312FC6" w:rsidRPr="004C4F6D" w:rsidRDefault="003919DE" w:rsidP="004C4F6D">
      <w:pPr>
        <w:spacing w:after="0" w:line="240" w:lineRule="auto"/>
        <w:ind w:left="720"/>
        <w:jc w:val="both"/>
        <w:rPr>
          <w:rFonts w:ascii="Arial" w:eastAsia="Times New Roman" w:hAnsi="Arial" w:cs="Arial"/>
          <w:bCs/>
        </w:rPr>
      </w:pPr>
      <w:r w:rsidRPr="004C4F6D">
        <w:rPr>
          <w:rFonts w:ascii="Arial" w:eastAsia="Times New Roman" w:hAnsi="Arial" w:cs="Arial"/>
          <w:bCs/>
        </w:rPr>
        <w:t>b.</w:t>
      </w:r>
      <w:r w:rsidRPr="004C4F6D">
        <w:rPr>
          <w:rFonts w:ascii="Arial" w:eastAsia="Times New Roman" w:hAnsi="Arial" w:cs="Arial"/>
          <w:bCs/>
        </w:rPr>
        <w:tab/>
        <w:t>Remittance of employees’ and employer’s contributions and employees’ compensation premium within the due date pursuant to Section 19 of the GSIS Act of 1997.</w:t>
      </w:r>
    </w:p>
    <w:p w14:paraId="47299FB7" w14:textId="77777777" w:rsidR="00312FC6" w:rsidRPr="004C4F6D" w:rsidRDefault="003919DE" w:rsidP="004C4F6D">
      <w:pPr>
        <w:spacing w:after="0" w:line="240" w:lineRule="auto"/>
        <w:rPr>
          <w:rFonts w:ascii="Arial" w:eastAsia="Times New Roman" w:hAnsi="Arial" w:cs="Arial"/>
          <w:b/>
          <w:bCs/>
          <w:caps/>
        </w:rPr>
      </w:pPr>
      <w:r w:rsidRPr="004C4F6D">
        <w:rPr>
          <w:rFonts w:ascii="Arial" w:eastAsia="Times New Roman" w:hAnsi="Arial" w:cs="Arial"/>
          <w:b/>
          <w:bCs/>
          <w:caps/>
        </w:rPr>
        <w:lastRenderedPageBreak/>
        <w:t>Status of Audit Suspensions, Disallowances and Charges</w:t>
      </w:r>
    </w:p>
    <w:p w14:paraId="22E106EB" w14:textId="77777777" w:rsidR="00312FC6" w:rsidRPr="004C4F6D" w:rsidRDefault="00312FC6" w:rsidP="004C4F6D">
      <w:pPr>
        <w:spacing w:after="0" w:line="240" w:lineRule="auto"/>
        <w:jc w:val="both"/>
        <w:rPr>
          <w:rFonts w:ascii="Arial" w:eastAsia="Times New Roman" w:hAnsi="Arial" w:cs="Arial"/>
          <w:bCs/>
        </w:rPr>
      </w:pPr>
    </w:p>
    <w:p w14:paraId="2DD32B21" w14:textId="6357B925" w:rsidR="00312FC6" w:rsidRPr="004C4F6D" w:rsidRDefault="003919DE" w:rsidP="004C4F6D">
      <w:pPr>
        <w:pStyle w:val="ListParagraph"/>
        <w:numPr>
          <w:ilvl w:val="0"/>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t>The total audit suspensions and disallowances as at December 31, 2022 is P2.8</w:t>
      </w:r>
      <w:r w:rsidR="009560B2" w:rsidRPr="004C4F6D">
        <w:rPr>
          <w:rFonts w:ascii="Arial" w:eastAsia="Times New Roman" w:hAnsi="Arial" w:cs="Arial"/>
          <w:bCs/>
        </w:rPr>
        <w:t>48</w:t>
      </w:r>
      <w:r w:rsidRPr="004C4F6D">
        <w:rPr>
          <w:rFonts w:ascii="Arial" w:eastAsia="Times New Roman" w:hAnsi="Arial" w:cs="Arial"/>
          <w:bCs/>
        </w:rPr>
        <w:t xml:space="preserve"> billion, broken down as follows:</w:t>
      </w:r>
    </w:p>
    <w:p w14:paraId="192A6EF3" w14:textId="77777777" w:rsidR="00312FC6" w:rsidRPr="004C4F6D" w:rsidRDefault="00312FC6" w:rsidP="004C4F6D">
      <w:pPr>
        <w:pStyle w:val="ListParagraph"/>
        <w:spacing w:after="0" w:line="240" w:lineRule="auto"/>
        <w:ind w:left="0"/>
        <w:jc w:val="both"/>
        <w:rPr>
          <w:rFonts w:ascii="Arial" w:eastAsia="Times New Roman" w:hAnsi="Arial" w:cs="Arial"/>
          <w:bCs/>
        </w:rPr>
      </w:pPr>
    </w:p>
    <w:tbl>
      <w:tblPr>
        <w:tblW w:w="8647" w:type="dxa"/>
        <w:tblLayout w:type="fixed"/>
        <w:tblLook w:val="04A0" w:firstRow="1" w:lastRow="0" w:firstColumn="1" w:lastColumn="0" w:noHBand="0" w:noVBand="1"/>
      </w:tblPr>
      <w:tblGrid>
        <w:gridCol w:w="2165"/>
        <w:gridCol w:w="295"/>
        <w:gridCol w:w="1646"/>
        <w:gridCol w:w="295"/>
        <w:gridCol w:w="1875"/>
        <w:gridCol w:w="426"/>
        <w:gridCol w:w="1945"/>
      </w:tblGrid>
      <w:tr w:rsidR="00312FC6" w:rsidRPr="004C4F6D" w14:paraId="4E27CAFF" w14:textId="77777777">
        <w:trPr>
          <w:trHeight w:val="160"/>
        </w:trPr>
        <w:tc>
          <w:tcPr>
            <w:tcW w:w="2165" w:type="dxa"/>
            <w:tcBorders>
              <w:top w:val="single" w:sz="4" w:space="0" w:color="auto"/>
              <w:left w:val="nil"/>
              <w:bottom w:val="single" w:sz="4" w:space="0" w:color="auto"/>
              <w:right w:val="nil"/>
            </w:tcBorders>
            <w:shd w:val="clear" w:color="auto" w:fill="auto"/>
            <w:vAlign w:val="center"/>
          </w:tcPr>
          <w:p w14:paraId="0BEF3194" w14:textId="77777777" w:rsidR="00312FC6" w:rsidRPr="004C4F6D" w:rsidRDefault="003919DE" w:rsidP="004C4F6D">
            <w:pPr>
              <w:spacing w:after="0" w:line="240" w:lineRule="auto"/>
              <w:rPr>
                <w:rFonts w:ascii="Arial" w:eastAsia="Times New Roman" w:hAnsi="Arial" w:cs="Arial"/>
                <w:b/>
                <w:bCs/>
                <w:sz w:val="20"/>
                <w:szCs w:val="20"/>
                <w:lang w:val="en-US"/>
              </w:rPr>
            </w:pPr>
            <w:r w:rsidRPr="004C4F6D">
              <w:rPr>
                <w:rFonts w:ascii="Arial" w:eastAsia="Times New Roman" w:hAnsi="Arial" w:cs="Arial"/>
                <w:b/>
                <w:bCs/>
                <w:sz w:val="20"/>
                <w:szCs w:val="20"/>
                <w:lang w:val="en-US"/>
              </w:rPr>
              <w:t> </w:t>
            </w:r>
          </w:p>
        </w:tc>
        <w:tc>
          <w:tcPr>
            <w:tcW w:w="1941" w:type="dxa"/>
            <w:gridSpan w:val="2"/>
            <w:tcBorders>
              <w:top w:val="single" w:sz="4" w:space="0" w:color="auto"/>
              <w:left w:val="nil"/>
              <w:bottom w:val="single" w:sz="4" w:space="0" w:color="auto"/>
              <w:right w:val="nil"/>
            </w:tcBorders>
            <w:shd w:val="clear" w:color="auto" w:fill="auto"/>
            <w:vAlign w:val="center"/>
          </w:tcPr>
          <w:p w14:paraId="724DB150" w14:textId="77777777" w:rsidR="00312FC6" w:rsidRPr="004C4F6D" w:rsidRDefault="003919DE" w:rsidP="004C4F6D">
            <w:pPr>
              <w:spacing w:after="0" w:line="240" w:lineRule="auto"/>
              <w:jc w:val="center"/>
              <w:rPr>
                <w:rFonts w:ascii="Arial" w:eastAsia="Times New Roman" w:hAnsi="Arial" w:cs="Arial"/>
                <w:b/>
                <w:bCs/>
                <w:sz w:val="20"/>
                <w:szCs w:val="20"/>
                <w:lang w:val="en-US"/>
              </w:rPr>
            </w:pPr>
            <w:r w:rsidRPr="004C4F6D">
              <w:rPr>
                <w:rFonts w:ascii="Arial" w:eastAsia="Times New Roman" w:hAnsi="Arial" w:cs="Arial"/>
                <w:b/>
                <w:bCs/>
                <w:sz w:val="20"/>
                <w:szCs w:val="20"/>
                <w:lang w:val="en-US"/>
              </w:rPr>
              <w:t xml:space="preserve">    Suspensions</w:t>
            </w:r>
          </w:p>
        </w:tc>
        <w:tc>
          <w:tcPr>
            <w:tcW w:w="2170" w:type="dxa"/>
            <w:gridSpan w:val="2"/>
            <w:tcBorders>
              <w:top w:val="single" w:sz="4" w:space="0" w:color="auto"/>
              <w:left w:val="nil"/>
              <w:bottom w:val="single" w:sz="4" w:space="0" w:color="auto"/>
              <w:right w:val="nil"/>
            </w:tcBorders>
            <w:shd w:val="clear" w:color="auto" w:fill="auto"/>
            <w:vAlign w:val="center"/>
          </w:tcPr>
          <w:p w14:paraId="29982CE5" w14:textId="77777777" w:rsidR="00312FC6" w:rsidRPr="004C4F6D" w:rsidRDefault="003919DE" w:rsidP="004C4F6D">
            <w:pPr>
              <w:spacing w:after="0" w:line="240" w:lineRule="auto"/>
              <w:jc w:val="center"/>
              <w:rPr>
                <w:rFonts w:ascii="Arial" w:eastAsia="Times New Roman" w:hAnsi="Arial" w:cs="Arial"/>
                <w:b/>
                <w:bCs/>
                <w:sz w:val="20"/>
                <w:szCs w:val="20"/>
                <w:lang w:val="en-US"/>
              </w:rPr>
            </w:pPr>
            <w:r w:rsidRPr="004C4F6D">
              <w:rPr>
                <w:rFonts w:ascii="Arial" w:eastAsia="Times New Roman" w:hAnsi="Arial" w:cs="Arial"/>
                <w:b/>
                <w:bCs/>
                <w:sz w:val="20"/>
                <w:szCs w:val="20"/>
                <w:lang w:val="en-US"/>
              </w:rPr>
              <w:t xml:space="preserve">       Disallowances</w:t>
            </w:r>
          </w:p>
        </w:tc>
        <w:tc>
          <w:tcPr>
            <w:tcW w:w="2371" w:type="dxa"/>
            <w:gridSpan w:val="2"/>
            <w:tcBorders>
              <w:top w:val="single" w:sz="4" w:space="0" w:color="auto"/>
              <w:left w:val="nil"/>
              <w:bottom w:val="single" w:sz="4" w:space="0" w:color="auto"/>
              <w:right w:val="nil"/>
            </w:tcBorders>
            <w:shd w:val="clear" w:color="auto" w:fill="auto"/>
            <w:vAlign w:val="center"/>
          </w:tcPr>
          <w:p w14:paraId="4DFF1725" w14:textId="77777777" w:rsidR="00312FC6" w:rsidRPr="004C4F6D" w:rsidRDefault="003919DE" w:rsidP="004C4F6D">
            <w:pPr>
              <w:spacing w:after="0" w:line="240" w:lineRule="auto"/>
              <w:jc w:val="center"/>
              <w:rPr>
                <w:rFonts w:ascii="Arial" w:eastAsia="Times New Roman" w:hAnsi="Arial" w:cs="Arial"/>
                <w:b/>
                <w:bCs/>
                <w:sz w:val="20"/>
                <w:szCs w:val="20"/>
                <w:lang w:val="en-US"/>
              </w:rPr>
            </w:pPr>
            <w:r w:rsidRPr="004C4F6D">
              <w:rPr>
                <w:rFonts w:ascii="Arial" w:eastAsia="Times New Roman" w:hAnsi="Arial" w:cs="Arial"/>
                <w:b/>
                <w:bCs/>
                <w:sz w:val="20"/>
                <w:szCs w:val="20"/>
                <w:lang w:val="en-US"/>
              </w:rPr>
              <w:t xml:space="preserve">         Total</w:t>
            </w:r>
          </w:p>
        </w:tc>
      </w:tr>
      <w:tr w:rsidR="00312FC6" w:rsidRPr="004C4F6D" w14:paraId="40B7FD0B" w14:textId="77777777">
        <w:trPr>
          <w:trHeight w:val="160"/>
        </w:trPr>
        <w:tc>
          <w:tcPr>
            <w:tcW w:w="2165" w:type="dxa"/>
            <w:tcBorders>
              <w:top w:val="nil"/>
              <w:left w:val="nil"/>
              <w:bottom w:val="nil"/>
              <w:right w:val="nil"/>
            </w:tcBorders>
            <w:shd w:val="clear" w:color="auto" w:fill="auto"/>
            <w:vAlign w:val="center"/>
          </w:tcPr>
          <w:p w14:paraId="67A36955" w14:textId="77777777" w:rsidR="00312FC6" w:rsidRPr="004C4F6D" w:rsidRDefault="003919DE" w:rsidP="004C4F6D">
            <w:pPr>
              <w:spacing w:after="0" w:line="240" w:lineRule="auto"/>
              <w:rPr>
                <w:rFonts w:ascii="Arial" w:eastAsia="Times New Roman" w:hAnsi="Arial" w:cs="Arial"/>
                <w:sz w:val="20"/>
                <w:szCs w:val="20"/>
                <w:lang w:val="en-US"/>
              </w:rPr>
            </w:pPr>
            <w:r w:rsidRPr="004C4F6D">
              <w:rPr>
                <w:rFonts w:ascii="Arial" w:eastAsia="Times New Roman" w:hAnsi="Arial" w:cs="Arial"/>
                <w:sz w:val="20"/>
                <w:szCs w:val="20"/>
                <w:lang w:val="en-US"/>
              </w:rPr>
              <w:t>Head Office*</w:t>
            </w:r>
          </w:p>
        </w:tc>
        <w:tc>
          <w:tcPr>
            <w:tcW w:w="295" w:type="dxa"/>
            <w:tcBorders>
              <w:top w:val="nil"/>
              <w:left w:val="nil"/>
              <w:bottom w:val="nil"/>
              <w:right w:val="nil"/>
            </w:tcBorders>
            <w:shd w:val="clear" w:color="auto" w:fill="auto"/>
            <w:vAlign w:val="center"/>
          </w:tcPr>
          <w:p w14:paraId="030CD3C6" w14:textId="77777777" w:rsidR="00312FC6" w:rsidRPr="004C4F6D" w:rsidRDefault="003919DE" w:rsidP="004C4F6D">
            <w:pPr>
              <w:spacing w:after="0" w:line="240" w:lineRule="auto"/>
              <w:rPr>
                <w:rFonts w:ascii="Arial" w:eastAsia="Times New Roman" w:hAnsi="Arial" w:cs="Arial"/>
                <w:sz w:val="20"/>
                <w:szCs w:val="20"/>
                <w:lang w:val="en-US"/>
              </w:rPr>
            </w:pPr>
            <w:r w:rsidRPr="004C4F6D">
              <w:rPr>
                <w:rFonts w:ascii="Arial" w:eastAsia="Times New Roman" w:hAnsi="Arial" w:cs="Arial"/>
                <w:sz w:val="20"/>
                <w:szCs w:val="20"/>
                <w:lang w:val="en-US"/>
              </w:rPr>
              <w:t>P</w:t>
            </w:r>
          </w:p>
        </w:tc>
        <w:tc>
          <w:tcPr>
            <w:tcW w:w="1646" w:type="dxa"/>
            <w:tcBorders>
              <w:top w:val="nil"/>
              <w:left w:val="nil"/>
              <w:bottom w:val="nil"/>
              <w:right w:val="nil"/>
            </w:tcBorders>
            <w:shd w:val="clear" w:color="auto" w:fill="auto"/>
            <w:vAlign w:val="center"/>
          </w:tcPr>
          <w:p w14:paraId="1E250A01" w14:textId="77777777" w:rsidR="00312FC6" w:rsidRPr="004C4F6D" w:rsidRDefault="003919DE" w:rsidP="004C4F6D">
            <w:pPr>
              <w:spacing w:after="0" w:line="240" w:lineRule="auto"/>
              <w:jc w:val="right"/>
              <w:rPr>
                <w:rFonts w:ascii="Arial" w:eastAsia="Times New Roman" w:hAnsi="Arial" w:cs="Arial"/>
                <w:sz w:val="20"/>
                <w:szCs w:val="20"/>
                <w:lang w:val="en-US"/>
              </w:rPr>
            </w:pPr>
            <w:r w:rsidRPr="004C4F6D">
              <w:rPr>
                <w:rFonts w:ascii="Arial" w:eastAsia="Times New Roman" w:hAnsi="Arial" w:cs="Arial"/>
                <w:sz w:val="20"/>
                <w:szCs w:val="20"/>
                <w:lang w:val="en-US"/>
              </w:rPr>
              <w:t>0</w:t>
            </w:r>
          </w:p>
        </w:tc>
        <w:tc>
          <w:tcPr>
            <w:tcW w:w="295" w:type="dxa"/>
            <w:tcBorders>
              <w:top w:val="nil"/>
              <w:left w:val="nil"/>
              <w:bottom w:val="nil"/>
              <w:right w:val="nil"/>
            </w:tcBorders>
            <w:shd w:val="clear" w:color="auto" w:fill="auto"/>
            <w:vAlign w:val="center"/>
          </w:tcPr>
          <w:p w14:paraId="0DFD8F40" w14:textId="77777777" w:rsidR="00312FC6" w:rsidRPr="004C4F6D" w:rsidRDefault="003919DE" w:rsidP="004C4F6D">
            <w:pPr>
              <w:spacing w:after="0" w:line="240" w:lineRule="auto"/>
              <w:jc w:val="right"/>
              <w:rPr>
                <w:rFonts w:ascii="Arial" w:eastAsia="Times New Roman" w:hAnsi="Arial" w:cs="Arial"/>
                <w:sz w:val="20"/>
                <w:szCs w:val="20"/>
                <w:lang w:val="en-US"/>
              </w:rPr>
            </w:pPr>
            <w:r w:rsidRPr="004C4F6D">
              <w:rPr>
                <w:rFonts w:ascii="Arial" w:eastAsia="Times New Roman" w:hAnsi="Arial" w:cs="Arial"/>
                <w:sz w:val="20"/>
                <w:szCs w:val="20"/>
                <w:lang w:val="en-US"/>
              </w:rPr>
              <w:t>P</w:t>
            </w:r>
          </w:p>
        </w:tc>
        <w:tc>
          <w:tcPr>
            <w:tcW w:w="1875" w:type="dxa"/>
            <w:tcBorders>
              <w:top w:val="nil"/>
              <w:left w:val="nil"/>
              <w:bottom w:val="nil"/>
              <w:right w:val="nil"/>
            </w:tcBorders>
            <w:shd w:val="clear" w:color="auto" w:fill="auto"/>
            <w:vAlign w:val="center"/>
          </w:tcPr>
          <w:p w14:paraId="536D4E49" w14:textId="77777777" w:rsidR="00312FC6" w:rsidRPr="004C4F6D" w:rsidRDefault="003919DE" w:rsidP="004C4F6D">
            <w:pPr>
              <w:spacing w:after="0" w:line="240" w:lineRule="auto"/>
              <w:jc w:val="right"/>
              <w:rPr>
                <w:rFonts w:ascii="Arial" w:eastAsia="Times New Roman" w:hAnsi="Arial" w:cs="Arial"/>
                <w:sz w:val="20"/>
                <w:szCs w:val="20"/>
                <w:lang w:val="en-US"/>
              </w:rPr>
            </w:pPr>
            <w:r w:rsidRPr="004C4F6D">
              <w:rPr>
                <w:rFonts w:ascii="Arial" w:eastAsia="Times New Roman" w:hAnsi="Arial" w:cs="Arial"/>
                <w:sz w:val="20"/>
                <w:szCs w:val="20"/>
                <w:lang w:val="en-US"/>
              </w:rPr>
              <w:t xml:space="preserve"> 2,813,431,297.32 </w:t>
            </w:r>
          </w:p>
        </w:tc>
        <w:tc>
          <w:tcPr>
            <w:tcW w:w="426" w:type="dxa"/>
            <w:tcBorders>
              <w:top w:val="nil"/>
              <w:left w:val="nil"/>
              <w:bottom w:val="nil"/>
              <w:right w:val="nil"/>
            </w:tcBorders>
            <w:shd w:val="clear" w:color="auto" w:fill="auto"/>
            <w:vAlign w:val="center"/>
          </w:tcPr>
          <w:p w14:paraId="23611DAA" w14:textId="77777777" w:rsidR="00312FC6" w:rsidRPr="004C4F6D" w:rsidRDefault="003919DE" w:rsidP="004C4F6D">
            <w:pPr>
              <w:spacing w:after="0" w:line="240" w:lineRule="auto"/>
              <w:rPr>
                <w:rFonts w:ascii="Arial" w:eastAsia="Times New Roman" w:hAnsi="Arial" w:cs="Arial"/>
                <w:sz w:val="20"/>
                <w:szCs w:val="20"/>
                <w:lang w:val="en-US"/>
              </w:rPr>
            </w:pPr>
            <w:r w:rsidRPr="004C4F6D">
              <w:rPr>
                <w:rFonts w:ascii="Arial" w:eastAsia="Times New Roman" w:hAnsi="Arial" w:cs="Arial"/>
                <w:sz w:val="20"/>
                <w:szCs w:val="20"/>
                <w:lang w:val="en-US"/>
              </w:rPr>
              <w:t>P</w:t>
            </w:r>
          </w:p>
        </w:tc>
        <w:tc>
          <w:tcPr>
            <w:tcW w:w="1945" w:type="dxa"/>
            <w:tcBorders>
              <w:top w:val="nil"/>
              <w:left w:val="nil"/>
              <w:bottom w:val="nil"/>
              <w:right w:val="nil"/>
            </w:tcBorders>
            <w:shd w:val="clear" w:color="auto" w:fill="auto"/>
            <w:vAlign w:val="center"/>
          </w:tcPr>
          <w:p w14:paraId="5FBBBFBF" w14:textId="77777777" w:rsidR="00312FC6" w:rsidRPr="004C4F6D" w:rsidRDefault="003919DE" w:rsidP="004C4F6D">
            <w:pPr>
              <w:spacing w:after="0" w:line="240" w:lineRule="auto"/>
              <w:jc w:val="right"/>
              <w:rPr>
                <w:rFonts w:ascii="Arial" w:eastAsia="Times New Roman" w:hAnsi="Arial" w:cs="Arial"/>
                <w:sz w:val="20"/>
                <w:szCs w:val="20"/>
                <w:lang w:val="en-US"/>
              </w:rPr>
            </w:pPr>
            <w:r w:rsidRPr="004C4F6D">
              <w:rPr>
                <w:rFonts w:ascii="Arial" w:eastAsia="Times New Roman" w:hAnsi="Arial" w:cs="Arial"/>
                <w:sz w:val="20"/>
                <w:szCs w:val="20"/>
                <w:lang w:val="en-US"/>
              </w:rPr>
              <w:fldChar w:fldCharType="begin"/>
            </w:r>
            <w:r w:rsidRPr="004C4F6D">
              <w:rPr>
                <w:rFonts w:ascii="Arial" w:eastAsia="Times New Roman" w:hAnsi="Arial" w:cs="Arial"/>
                <w:sz w:val="20"/>
                <w:szCs w:val="20"/>
                <w:lang w:val="en-US"/>
              </w:rPr>
              <w:instrText xml:space="preserve"> =SUM(C2, E2) \# "#,##0.00;(#,##0.00)" </w:instrText>
            </w:r>
            <w:r w:rsidRPr="004C4F6D">
              <w:rPr>
                <w:rFonts w:ascii="Arial" w:eastAsia="Times New Roman" w:hAnsi="Arial" w:cs="Arial"/>
                <w:sz w:val="20"/>
                <w:szCs w:val="20"/>
                <w:lang w:val="en-US"/>
              </w:rPr>
              <w:fldChar w:fldCharType="separate"/>
            </w:r>
            <w:r w:rsidRPr="004C4F6D">
              <w:rPr>
                <w:rFonts w:ascii="Arial" w:eastAsia="Times New Roman" w:hAnsi="Arial" w:cs="Arial"/>
                <w:sz w:val="20"/>
                <w:szCs w:val="20"/>
                <w:lang w:val="en-US"/>
              </w:rPr>
              <w:t>2,813,431,297.32</w:t>
            </w:r>
            <w:r w:rsidRPr="004C4F6D">
              <w:rPr>
                <w:rFonts w:ascii="Arial" w:eastAsia="Times New Roman" w:hAnsi="Arial" w:cs="Arial"/>
                <w:sz w:val="20"/>
                <w:szCs w:val="20"/>
                <w:lang w:val="en-US"/>
              </w:rPr>
              <w:fldChar w:fldCharType="end"/>
            </w:r>
          </w:p>
        </w:tc>
      </w:tr>
      <w:tr w:rsidR="00312FC6" w:rsidRPr="004C4F6D" w14:paraId="4263EF54" w14:textId="77777777">
        <w:trPr>
          <w:trHeight w:val="160"/>
        </w:trPr>
        <w:tc>
          <w:tcPr>
            <w:tcW w:w="2165" w:type="dxa"/>
            <w:tcBorders>
              <w:top w:val="nil"/>
              <w:left w:val="nil"/>
              <w:bottom w:val="nil"/>
              <w:right w:val="nil"/>
            </w:tcBorders>
            <w:shd w:val="clear" w:color="auto" w:fill="auto"/>
            <w:vAlign w:val="center"/>
          </w:tcPr>
          <w:p w14:paraId="6D737618" w14:textId="77777777" w:rsidR="00312FC6" w:rsidRPr="004C4F6D" w:rsidRDefault="003919DE" w:rsidP="004C4F6D">
            <w:pPr>
              <w:spacing w:after="0" w:line="240" w:lineRule="auto"/>
              <w:rPr>
                <w:rFonts w:ascii="Arial" w:eastAsia="Times New Roman" w:hAnsi="Arial" w:cs="Arial"/>
                <w:sz w:val="20"/>
                <w:szCs w:val="20"/>
                <w:lang w:val="en-US"/>
              </w:rPr>
            </w:pPr>
            <w:r w:rsidRPr="004C4F6D">
              <w:rPr>
                <w:rFonts w:ascii="Arial" w:eastAsia="Times New Roman" w:hAnsi="Arial" w:cs="Arial"/>
                <w:sz w:val="20"/>
                <w:szCs w:val="20"/>
                <w:lang w:val="en-US"/>
              </w:rPr>
              <w:t>Regional Offices/Branches</w:t>
            </w:r>
          </w:p>
        </w:tc>
        <w:tc>
          <w:tcPr>
            <w:tcW w:w="295" w:type="dxa"/>
            <w:tcBorders>
              <w:top w:val="nil"/>
              <w:left w:val="nil"/>
              <w:bottom w:val="nil"/>
              <w:right w:val="nil"/>
            </w:tcBorders>
            <w:shd w:val="clear" w:color="auto" w:fill="auto"/>
            <w:vAlign w:val="center"/>
          </w:tcPr>
          <w:p w14:paraId="01867487" w14:textId="77777777" w:rsidR="00312FC6" w:rsidRPr="004C4F6D" w:rsidRDefault="00312FC6" w:rsidP="004C4F6D">
            <w:pPr>
              <w:spacing w:after="0" w:line="240" w:lineRule="auto"/>
              <w:rPr>
                <w:rFonts w:ascii="Arial" w:eastAsia="Times New Roman" w:hAnsi="Arial" w:cs="Arial"/>
                <w:sz w:val="20"/>
                <w:szCs w:val="20"/>
                <w:lang w:val="en-US"/>
              </w:rPr>
            </w:pPr>
          </w:p>
        </w:tc>
        <w:tc>
          <w:tcPr>
            <w:tcW w:w="1646" w:type="dxa"/>
            <w:tcBorders>
              <w:top w:val="nil"/>
              <w:left w:val="nil"/>
              <w:bottom w:val="nil"/>
              <w:right w:val="nil"/>
            </w:tcBorders>
            <w:shd w:val="clear" w:color="auto" w:fill="auto"/>
            <w:vAlign w:val="bottom"/>
          </w:tcPr>
          <w:p w14:paraId="1E31119F" w14:textId="475A4ED3" w:rsidR="00312FC6" w:rsidRPr="004C4F6D" w:rsidRDefault="009560B2" w:rsidP="004C4F6D">
            <w:pPr>
              <w:spacing w:after="0" w:line="240" w:lineRule="auto"/>
              <w:jc w:val="right"/>
              <w:rPr>
                <w:rFonts w:ascii="Arial" w:eastAsia="Times New Roman" w:hAnsi="Arial" w:cs="Arial"/>
                <w:sz w:val="20"/>
                <w:szCs w:val="20"/>
                <w:lang w:val="en-US"/>
              </w:rPr>
            </w:pPr>
            <w:r w:rsidRPr="004C4F6D">
              <w:rPr>
                <w:rFonts w:ascii="Arial" w:eastAsia="Times New Roman" w:hAnsi="Arial" w:cs="Arial"/>
                <w:sz w:val="20"/>
                <w:szCs w:val="20"/>
              </w:rPr>
              <w:t>22,371,830.10</w:t>
            </w:r>
          </w:p>
        </w:tc>
        <w:tc>
          <w:tcPr>
            <w:tcW w:w="295" w:type="dxa"/>
            <w:tcBorders>
              <w:top w:val="nil"/>
              <w:left w:val="nil"/>
              <w:bottom w:val="nil"/>
              <w:right w:val="nil"/>
            </w:tcBorders>
            <w:shd w:val="clear" w:color="auto" w:fill="auto"/>
            <w:vAlign w:val="center"/>
          </w:tcPr>
          <w:p w14:paraId="5B7DCB8A" w14:textId="77777777" w:rsidR="00312FC6" w:rsidRPr="004C4F6D" w:rsidRDefault="00312FC6" w:rsidP="004C4F6D">
            <w:pPr>
              <w:spacing w:after="0" w:line="240" w:lineRule="auto"/>
              <w:jc w:val="right"/>
              <w:rPr>
                <w:rFonts w:ascii="Arial" w:eastAsia="Times New Roman" w:hAnsi="Arial" w:cs="Arial"/>
                <w:sz w:val="20"/>
                <w:szCs w:val="20"/>
                <w:lang w:val="en-US"/>
              </w:rPr>
            </w:pPr>
          </w:p>
        </w:tc>
        <w:tc>
          <w:tcPr>
            <w:tcW w:w="1875" w:type="dxa"/>
            <w:tcBorders>
              <w:top w:val="nil"/>
              <w:left w:val="nil"/>
              <w:bottom w:val="nil"/>
              <w:right w:val="nil"/>
            </w:tcBorders>
            <w:shd w:val="clear" w:color="auto" w:fill="auto"/>
            <w:vAlign w:val="bottom"/>
          </w:tcPr>
          <w:p w14:paraId="03F65D1E" w14:textId="73E9E933" w:rsidR="00312FC6" w:rsidRPr="004C4F6D" w:rsidRDefault="009560B2" w:rsidP="004C4F6D">
            <w:pPr>
              <w:spacing w:after="0" w:line="240" w:lineRule="auto"/>
              <w:jc w:val="right"/>
              <w:rPr>
                <w:rFonts w:ascii="Arial" w:eastAsia="Times New Roman" w:hAnsi="Arial" w:cs="Arial"/>
                <w:sz w:val="20"/>
                <w:szCs w:val="20"/>
                <w:lang w:val="en-US"/>
              </w:rPr>
            </w:pPr>
            <w:r w:rsidRPr="004C4F6D">
              <w:rPr>
                <w:rFonts w:ascii="Arial" w:eastAsia="Times New Roman" w:hAnsi="Arial" w:cs="Arial"/>
                <w:sz w:val="20"/>
                <w:szCs w:val="20"/>
              </w:rPr>
              <w:t>12,139,217.23</w:t>
            </w:r>
          </w:p>
        </w:tc>
        <w:tc>
          <w:tcPr>
            <w:tcW w:w="426" w:type="dxa"/>
            <w:tcBorders>
              <w:top w:val="nil"/>
              <w:left w:val="nil"/>
              <w:bottom w:val="nil"/>
              <w:right w:val="nil"/>
            </w:tcBorders>
            <w:shd w:val="clear" w:color="auto" w:fill="auto"/>
            <w:vAlign w:val="center"/>
          </w:tcPr>
          <w:p w14:paraId="1D5EF9F4" w14:textId="77777777" w:rsidR="00312FC6" w:rsidRPr="004C4F6D" w:rsidRDefault="00312FC6" w:rsidP="004C4F6D">
            <w:pPr>
              <w:spacing w:after="0" w:line="240" w:lineRule="auto"/>
              <w:jc w:val="right"/>
              <w:rPr>
                <w:rFonts w:ascii="Arial" w:eastAsia="Times New Roman" w:hAnsi="Arial" w:cs="Arial"/>
                <w:sz w:val="20"/>
                <w:szCs w:val="20"/>
                <w:lang w:val="en-US"/>
              </w:rPr>
            </w:pPr>
          </w:p>
        </w:tc>
        <w:tc>
          <w:tcPr>
            <w:tcW w:w="1945" w:type="dxa"/>
            <w:tcBorders>
              <w:top w:val="nil"/>
              <w:left w:val="nil"/>
              <w:bottom w:val="nil"/>
              <w:right w:val="nil"/>
            </w:tcBorders>
            <w:shd w:val="clear" w:color="auto" w:fill="auto"/>
            <w:vAlign w:val="bottom"/>
          </w:tcPr>
          <w:p w14:paraId="5FA7C601" w14:textId="65F1B195" w:rsidR="00312FC6" w:rsidRPr="004C4F6D" w:rsidRDefault="007924A0" w:rsidP="004C4F6D">
            <w:pPr>
              <w:spacing w:after="0" w:line="240" w:lineRule="auto"/>
              <w:jc w:val="right"/>
              <w:rPr>
                <w:rFonts w:ascii="Arial" w:eastAsia="Times New Roman" w:hAnsi="Arial" w:cs="Arial"/>
                <w:sz w:val="20"/>
                <w:szCs w:val="20"/>
                <w:lang w:val="en-US"/>
              </w:rPr>
            </w:pPr>
            <w:r w:rsidRPr="004C4F6D">
              <w:rPr>
                <w:rFonts w:ascii="Arial" w:eastAsia="Times New Roman" w:hAnsi="Arial" w:cs="Arial"/>
                <w:sz w:val="20"/>
                <w:szCs w:val="20"/>
              </w:rPr>
              <w:fldChar w:fldCharType="begin"/>
            </w:r>
            <w:r w:rsidRPr="004C4F6D">
              <w:rPr>
                <w:rFonts w:ascii="Arial" w:eastAsia="Times New Roman" w:hAnsi="Arial" w:cs="Arial"/>
                <w:sz w:val="20"/>
                <w:szCs w:val="20"/>
              </w:rPr>
              <w:instrText xml:space="preserve"> =SUM(C3, E3) \# "#,##0.00;(#,##0.00)" </w:instrText>
            </w:r>
            <w:r w:rsidRPr="004C4F6D">
              <w:rPr>
                <w:rFonts w:ascii="Arial" w:eastAsia="Times New Roman" w:hAnsi="Arial" w:cs="Arial"/>
                <w:sz w:val="20"/>
                <w:szCs w:val="20"/>
              </w:rPr>
              <w:fldChar w:fldCharType="separate"/>
            </w:r>
            <w:r w:rsidRPr="004C4F6D">
              <w:rPr>
                <w:rFonts w:ascii="Arial" w:eastAsia="Times New Roman" w:hAnsi="Arial" w:cs="Arial"/>
                <w:sz w:val="20"/>
                <w:szCs w:val="20"/>
              </w:rPr>
              <w:t>34,511,047.</w:t>
            </w:r>
            <w:r w:rsidRPr="004C4F6D">
              <w:rPr>
                <w:rFonts w:ascii="Arial" w:eastAsia="Times New Roman" w:hAnsi="Arial" w:cs="Arial"/>
                <w:sz w:val="20"/>
                <w:szCs w:val="20"/>
              </w:rPr>
              <w:fldChar w:fldCharType="end"/>
            </w:r>
            <w:r w:rsidRPr="004C4F6D">
              <w:rPr>
                <w:rFonts w:ascii="Arial" w:eastAsia="Times New Roman" w:hAnsi="Arial" w:cs="Arial"/>
                <w:sz w:val="20"/>
                <w:szCs w:val="20"/>
              </w:rPr>
              <w:t>33</w:t>
            </w:r>
          </w:p>
        </w:tc>
      </w:tr>
      <w:tr w:rsidR="00312FC6" w:rsidRPr="004C4F6D" w14:paraId="1005C178" w14:textId="77777777">
        <w:trPr>
          <w:trHeight w:val="176"/>
        </w:trPr>
        <w:tc>
          <w:tcPr>
            <w:tcW w:w="2165" w:type="dxa"/>
            <w:tcBorders>
              <w:top w:val="single" w:sz="4" w:space="0" w:color="auto"/>
              <w:left w:val="nil"/>
              <w:bottom w:val="double" w:sz="6" w:space="0" w:color="auto"/>
              <w:right w:val="nil"/>
            </w:tcBorders>
            <w:shd w:val="clear" w:color="auto" w:fill="auto"/>
            <w:vAlign w:val="center"/>
          </w:tcPr>
          <w:p w14:paraId="0EE130A0" w14:textId="77777777" w:rsidR="00312FC6" w:rsidRPr="004C4F6D" w:rsidRDefault="003919DE" w:rsidP="004C4F6D">
            <w:pPr>
              <w:spacing w:after="0" w:line="240" w:lineRule="auto"/>
              <w:rPr>
                <w:rFonts w:ascii="Arial" w:eastAsia="Times New Roman" w:hAnsi="Arial" w:cs="Arial"/>
                <w:b/>
                <w:sz w:val="20"/>
                <w:szCs w:val="20"/>
                <w:lang w:val="en-US"/>
              </w:rPr>
            </w:pPr>
            <w:r w:rsidRPr="004C4F6D">
              <w:rPr>
                <w:rFonts w:ascii="Arial" w:eastAsia="Times New Roman" w:hAnsi="Arial" w:cs="Arial"/>
                <w:b/>
                <w:sz w:val="20"/>
                <w:szCs w:val="20"/>
                <w:lang w:val="en-US"/>
              </w:rPr>
              <w:t>Total </w:t>
            </w:r>
          </w:p>
        </w:tc>
        <w:tc>
          <w:tcPr>
            <w:tcW w:w="295" w:type="dxa"/>
            <w:tcBorders>
              <w:top w:val="single" w:sz="4" w:space="0" w:color="auto"/>
              <w:left w:val="nil"/>
              <w:bottom w:val="double" w:sz="6" w:space="0" w:color="auto"/>
              <w:right w:val="nil"/>
            </w:tcBorders>
            <w:shd w:val="clear" w:color="auto" w:fill="auto"/>
            <w:vAlign w:val="center"/>
          </w:tcPr>
          <w:p w14:paraId="70132C0F" w14:textId="77777777" w:rsidR="00312FC6" w:rsidRPr="004C4F6D" w:rsidRDefault="003919DE" w:rsidP="004C4F6D">
            <w:pPr>
              <w:spacing w:after="0" w:line="240" w:lineRule="auto"/>
              <w:rPr>
                <w:rFonts w:ascii="Arial" w:eastAsia="Times New Roman" w:hAnsi="Arial" w:cs="Arial"/>
                <w:b/>
                <w:sz w:val="20"/>
                <w:szCs w:val="20"/>
                <w:lang w:val="en-US"/>
              </w:rPr>
            </w:pPr>
            <w:r w:rsidRPr="004C4F6D">
              <w:rPr>
                <w:rFonts w:ascii="Arial" w:eastAsia="Times New Roman" w:hAnsi="Arial" w:cs="Arial"/>
                <w:b/>
                <w:sz w:val="20"/>
                <w:szCs w:val="20"/>
                <w:lang w:val="en-US"/>
              </w:rPr>
              <w:t>P</w:t>
            </w:r>
          </w:p>
        </w:tc>
        <w:tc>
          <w:tcPr>
            <w:tcW w:w="1646" w:type="dxa"/>
            <w:tcBorders>
              <w:top w:val="single" w:sz="4" w:space="0" w:color="auto"/>
              <w:left w:val="nil"/>
              <w:bottom w:val="double" w:sz="6" w:space="0" w:color="auto"/>
              <w:right w:val="nil"/>
            </w:tcBorders>
            <w:shd w:val="clear" w:color="auto" w:fill="auto"/>
            <w:vAlign w:val="center"/>
          </w:tcPr>
          <w:p w14:paraId="2A8E35A9" w14:textId="62CD18CA" w:rsidR="00312FC6" w:rsidRPr="004C4F6D" w:rsidRDefault="009560B2" w:rsidP="004C4F6D">
            <w:pPr>
              <w:spacing w:after="0" w:line="240" w:lineRule="auto"/>
              <w:jc w:val="right"/>
              <w:rPr>
                <w:rFonts w:ascii="Arial" w:eastAsia="Times New Roman" w:hAnsi="Arial" w:cs="Arial"/>
                <w:b/>
                <w:sz w:val="20"/>
                <w:szCs w:val="20"/>
                <w:lang w:val="en-US"/>
              </w:rPr>
            </w:pPr>
            <w:r w:rsidRPr="004C4F6D">
              <w:rPr>
                <w:rFonts w:ascii="Arial" w:eastAsia="Times New Roman" w:hAnsi="Arial" w:cs="Arial"/>
                <w:b/>
                <w:sz w:val="20"/>
                <w:szCs w:val="20"/>
              </w:rPr>
              <w:fldChar w:fldCharType="begin"/>
            </w:r>
            <w:r w:rsidRPr="004C4F6D">
              <w:rPr>
                <w:rFonts w:ascii="Arial" w:eastAsia="Times New Roman" w:hAnsi="Arial" w:cs="Arial"/>
                <w:b/>
                <w:sz w:val="20"/>
                <w:szCs w:val="20"/>
              </w:rPr>
              <w:instrText xml:space="preserve"> =SUM(ABOVE) \# "#,##0.00;(#,##0.00)" </w:instrText>
            </w:r>
            <w:r w:rsidRPr="004C4F6D">
              <w:rPr>
                <w:rFonts w:ascii="Arial" w:eastAsia="Times New Roman" w:hAnsi="Arial" w:cs="Arial"/>
                <w:b/>
                <w:sz w:val="20"/>
                <w:szCs w:val="20"/>
              </w:rPr>
              <w:fldChar w:fldCharType="separate"/>
            </w:r>
            <w:r w:rsidRPr="004C4F6D">
              <w:rPr>
                <w:rFonts w:ascii="Arial" w:eastAsia="Times New Roman" w:hAnsi="Arial" w:cs="Arial"/>
                <w:b/>
                <w:sz w:val="20"/>
                <w:szCs w:val="20"/>
              </w:rPr>
              <w:t>22,371,830.10</w:t>
            </w:r>
            <w:r w:rsidRPr="004C4F6D">
              <w:rPr>
                <w:rFonts w:ascii="Arial" w:eastAsia="Times New Roman" w:hAnsi="Arial" w:cs="Arial"/>
                <w:b/>
                <w:sz w:val="20"/>
                <w:szCs w:val="20"/>
              </w:rPr>
              <w:fldChar w:fldCharType="end"/>
            </w:r>
          </w:p>
        </w:tc>
        <w:tc>
          <w:tcPr>
            <w:tcW w:w="295" w:type="dxa"/>
            <w:tcBorders>
              <w:top w:val="single" w:sz="4" w:space="0" w:color="auto"/>
              <w:left w:val="nil"/>
              <w:bottom w:val="double" w:sz="6" w:space="0" w:color="auto"/>
              <w:right w:val="nil"/>
            </w:tcBorders>
            <w:shd w:val="clear" w:color="auto" w:fill="auto"/>
            <w:vAlign w:val="center"/>
          </w:tcPr>
          <w:p w14:paraId="2CAD51C3" w14:textId="77777777" w:rsidR="00312FC6" w:rsidRPr="004C4F6D" w:rsidRDefault="003919DE" w:rsidP="004C4F6D">
            <w:pPr>
              <w:spacing w:after="0" w:line="240" w:lineRule="auto"/>
              <w:jc w:val="right"/>
              <w:rPr>
                <w:rFonts w:ascii="Arial" w:eastAsia="Times New Roman" w:hAnsi="Arial" w:cs="Arial"/>
                <w:b/>
                <w:sz w:val="20"/>
                <w:szCs w:val="20"/>
                <w:lang w:val="en-US"/>
              </w:rPr>
            </w:pPr>
            <w:r w:rsidRPr="004C4F6D">
              <w:rPr>
                <w:rFonts w:ascii="Arial" w:eastAsia="Times New Roman" w:hAnsi="Arial" w:cs="Arial"/>
                <w:b/>
                <w:sz w:val="20"/>
                <w:szCs w:val="20"/>
                <w:lang w:val="en-US"/>
              </w:rPr>
              <w:t>P</w:t>
            </w:r>
          </w:p>
        </w:tc>
        <w:tc>
          <w:tcPr>
            <w:tcW w:w="1875" w:type="dxa"/>
            <w:tcBorders>
              <w:top w:val="single" w:sz="4" w:space="0" w:color="auto"/>
              <w:left w:val="nil"/>
              <w:bottom w:val="double" w:sz="6" w:space="0" w:color="auto"/>
              <w:right w:val="nil"/>
            </w:tcBorders>
            <w:shd w:val="clear" w:color="auto" w:fill="auto"/>
            <w:vAlign w:val="center"/>
          </w:tcPr>
          <w:p w14:paraId="1026769E" w14:textId="7CD0202D" w:rsidR="00312FC6" w:rsidRPr="004C4F6D" w:rsidRDefault="003919DE" w:rsidP="004C4F6D">
            <w:pPr>
              <w:spacing w:after="0" w:line="240" w:lineRule="auto"/>
              <w:jc w:val="right"/>
              <w:rPr>
                <w:rFonts w:ascii="Arial" w:eastAsia="Times New Roman" w:hAnsi="Arial" w:cs="Arial"/>
                <w:b/>
                <w:sz w:val="20"/>
                <w:szCs w:val="20"/>
                <w:lang w:val="en-US"/>
              </w:rPr>
            </w:pPr>
            <w:r w:rsidRPr="004C4F6D">
              <w:rPr>
                <w:rFonts w:ascii="Arial" w:eastAsia="Times New Roman" w:hAnsi="Arial" w:cs="Arial"/>
                <w:b/>
                <w:sz w:val="20"/>
                <w:szCs w:val="20"/>
                <w:lang w:val="en-US"/>
              </w:rPr>
              <w:t xml:space="preserve"> </w:t>
            </w:r>
            <w:r w:rsidR="007924A0" w:rsidRPr="004C4F6D">
              <w:rPr>
                <w:rFonts w:ascii="Arial" w:eastAsia="Times New Roman" w:hAnsi="Arial" w:cs="Arial"/>
                <w:b/>
                <w:sz w:val="20"/>
                <w:szCs w:val="20"/>
              </w:rPr>
              <w:fldChar w:fldCharType="begin"/>
            </w:r>
            <w:r w:rsidR="007924A0" w:rsidRPr="004C4F6D">
              <w:rPr>
                <w:rFonts w:ascii="Arial" w:eastAsia="Times New Roman" w:hAnsi="Arial" w:cs="Arial"/>
                <w:b/>
                <w:sz w:val="20"/>
                <w:szCs w:val="20"/>
              </w:rPr>
              <w:instrText xml:space="preserve"> =SUM(ABOVE) \# "#,##0.00;(#,##0.00)" </w:instrText>
            </w:r>
            <w:r w:rsidR="007924A0" w:rsidRPr="004C4F6D">
              <w:rPr>
                <w:rFonts w:ascii="Arial" w:eastAsia="Times New Roman" w:hAnsi="Arial" w:cs="Arial"/>
                <w:b/>
                <w:sz w:val="20"/>
                <w:szCs w:val="20"/>
              </w:rPr>
              <w:fldChar w:fldCharType="separate"/>
            </w:r>
            <w:r w:rsidR="007924A0" w:rsidRPr="004C4F6D">
              <w:rPr>
                <w:rFonts w:ascii="Arial" w:eastAsia="Times New Roman" w:hAnsi="Arial" w:cs="Arial"/>
                <w:b/>
                <w:sz w:val="20"/>
                <w:szCs w:val="20"/>
              </w:rPr>
              <w:t>2,825,570,514.55</w:t>
            </w:r>
            <w:r w:rsidR="007924A0" w:rsidRPr="004C4F6D">
              <w:rPr>
                <w:rFonts w:ascii="Arial" w:eastAsia="Times New Roman" w:hAnsi="Arial" w:cs="Arial"/>
                <w:b/>
                <w:sz w:val="20"/>
                <w:szCs w:val="20"/>
              </w:rPr>
              <w:fldChar w:fldCharType="end"/>
            </w:r>
          </w:p>
        </w:tc>
        <w:tc>
          <w:tcPr>
            <w:tcW w:w="426" w:type="dxa"/>
            <w:tcBorders>
              <w:top w:val="single" w:sz="4" w:space="0" w:color="auto"/>
              <w:left w:val="nil"/>
              <w:bottom w:val="double" w:sz="6" w:space="0" w:color="auto"/>
              <w:right w:val="nil"/>
            </w:tcBorders>
            <w:shd w:val="clear" w:color="auto" w:fill="auto"/>
            <w:vAlign w:val="center"/>
          </w:tcPr>
          <w:p w14:paraId="2EA13788" w14:textId="77777777" w:rsidR="00312FC6" w:rsidRPr="004C4F6D" w:rsidRDefault="003919DE" w:rsidP="004C4F6D">
            <w:pPr>
              <w:spacing w:after="0" w:line="240" w:lineRule="auto"/>
              <w:rPr>
                <w:rFonts w:ascii="Arial" w:eastAsia="Times New Roman" w:hAnsi="Arial" w:cs="Arial"/>
                <w:b/>
                <w:sz w:val="20"/>
                <w:szCs w:val="20"/>
                <w:lang w:val="en-US"/>
              </w:rPr>
            </w:pPr>
            <w:r w:rsidRPr="004C4F6D">
              <w:rPr>
                <w:rFonts w:ascii="Arial" w:eastAsia="Times New Roman" w:hAnsi="Arial" w:cs="Arial"/>
                <w:b/>
                <w:sz w:val="20"/>
                <w:szCs w:val="20"/>
                <w:lang w:val="en-US"/>
              </w:rPr>
              <w:t>P</w:t>
            </w:r>
          </w:p>
        </w:tc>
        <w:tc>
          <w:tcPr>
            <w:tcW w:w="1945" w:type="dxa"/>
            <w:tcBorders>
              <w:top w:val="single" w:sz="4" w:space="0" w:color="auto"/>
              <w:left w:val="nil"/>
              <w:bottom w:val="double" w:sz="6" w:space="0" w:color="auto"/>
              <w:right w:val="nil"/>
            </w:tcBorders>
            <w:shd w:val="clear" w:color="auto" w:fill="auto"/>
            <w:vAlign w:val="center"/>
          </w:tcPr>
          <w:p w14:paraId="79DC35B8" w14:textId="46FB4311" w:rsidR="00312FC6" w:rsidRPr="004C4F6D" w:rsidRDefault="007924A0" w:rsidP="004C4F6D">
            <w:pPr>
              <w:spacing w:after="0" w:line="240" w:lineRule="auto"/>
              <w:jc w:val="right"/>
              <w:rPr>
                <w:rFonts w:ascii="Arial" w:eastAsia="Times New Roman" w:hAnsi="Arial" w:cs="Arial"/>
                <w:b/>
                <w:sz w:val="20"/>
                <w:szCs w:val="20"/>
                <w:lang w:val="en-US"/>
              </w:rPr>
            </w:pPr>
            <w:r w:rsidRPr="004C4F6D">
              <w:rPr>
                <w:rFonts w:ascii="Arial" w:eastAsia="Times New Roman" w:hAnsi="Arial" w:cs="Arial"/>
                <w:b/>
                <w:sz w:val="20"/>
                <w:szCs w:val="20"/>
              </w:rPr>
              <w:fldChar w:fldCharType="begin"/>
            </w:r>
            <w:r w:rsidRPr="004C4F6D">
              <w:rPr>
                <w:rFonts w:ascii="Arial" w:eastAsia="Times New Roman" w:hAnsi="Arial" w:cs="Arial"/>
                <w:b/>
                <w:sz w:val="20"/>
                <w:szCs w:val="20"/>
              </w:rPr>
              <w:instrText xml:space="preserve"> =SUM(ABOVE) \# "#,##0.00;(#,##0.00)" </w:instrText>
            </w:r>
            <w:r w:rsidRPr="004C4F6D">
              <w:rPr>
                <w:rFonts w:ascii="Arial" w:eastAsia="Times New Roman" w:hAnsi="Arial" w:cs="Arial"/>
                <w:b/>
                <w:sz w:val="20"/>
                <w:szCs w:val="20"/>
              </w:rPr>
              <w:fldChar w:fldCharType="separate"/>
            </w:r>
            <w:r w:rsidRPr="004C4F6D">
              <w:rPr>
                <w:rFonts w:ascii="Arial" w:eastAsia="Times New Roman" w:hAnsi="Arial" w:cs="Arial"/>
                <w:b/>
                <w:sz w:val="20"/>
                <w:szCs w:val="20"/>
              </w:rPr>
              <w:t>2,847,942,344.</w:t>
            </w:r>
            <w:r w:rsidRPr="004C4F6D">
              <w:rPr>
                <w:rFonts w:ascii="Arial" w:eastAsia="Times New Roman" w:hAnsi="Arial" w:cs="Arial"/>
                <w:b/>
                <w:sz w:val="20"/>
                <w:szCs w:val="20"/>
              </w:rPr>
              <w:fldChar w:fldCharType="end"/>
            </w:r>
            <w:r w:rsidRPr="004C4F6D">
              <w:rPr>
                <w:rFonts w:ascii="Arial" w:eastAsia="Times New Roman" w:hAnsi="Arial" w:cs="Arial"/>
                <w:b/>
                <w:sz w:val="20"/>
                <w:szCs w:val="20"/>
              </w:rPr>
              <w:t>65</w:t>
            </w:r>
          </w:p>
        </w:tc>
      </w:tr>
    </w:tbl>
    <w:p w14:paraId="47DBC22E" w14:textId="77777777" w:rsidR="00312FC6" w:rsidRPr="004C4F6D" w:rsidRDefault="00312FC6" w:rsidP="004C4F6D">
      <w:pPr>
        <w:spacing w:after="0" w:line="240" w:lineRule="auto"/>
        <w:jc w:val="both"/>
        <w:rPr>
          <w:rFonts w:ascii="Arial" w:eastAsia="Times New Roman" w:hAnsi="Arial" w:cs="Arial"/>
          <w:bCs/>
          <w:sz w:val="8"/>
          <w:szCs w:val="8"/>
        </w:rPr>
      </w:pPr>
    </w:p>
    <w:p w14:paraId="54B53148" w14:textId="77777777" w:rsidR="00312FC6" w:rsidRPr="004C4F6D" w:rsidRDefault="003919DE" w:rsidP="004C4F6D">
      <w:pPr>
        <w:spacing w:after="0" w:line="240" w:lineRule="auto"/>
        <w:jc w:val="both"/>
        <w:rPr>
          <w:rFonts w:ascii="Arial" w:eastAsia="Times New Roman" w:hAnsi="Arial" w:cs="Arial"/>
          <w:bCs/>
          <w:i/>
          <w:sz w:val="16"/>
          <w:szCs w:val="16"/>
        </w:rPr>
      </w:pPr>
      <w:r w:rsidRPr="004C4F6D">
        <w:rPr>
          <w:rFonts w:ascii="Arial" w:eastAsia="Times New Roman" w:hAnsi="Arial" w:cs="Arial"/>
          <w:bCs/>
          <w:i/>
          <w:sz w:val="16"/>
          <w:szCs w:val="16"/>
        </w:rPr>
        <w:t>* Included are the NLDC and PCFC disallowances</w:t>
      </w:r>
    </w:p>
    <w:p w14:paraId="46307770" w14:textId="77777777" w:rsidR="00312FC6" w:rsidRPr="004C4F6D" w:rsidRDefault="00312FC6" w:rsidP="004C4F6D">
      <w:pPr>
        <w:spacing w:after="0" w:line="240" w:lineRule="auto"/>
        <w:jc w:val="both"/>
        <w:rPr>
          <w:rFonts w:ascii="Arial" w:eastAsia="Times New Roman" w:hAnsi="Arial" w:cs="Arial"/>
          <w:bCs/>
          <w:i/>
          <w:sz w:val="16"/>
          <w:szCs w:val="16"/>
        </w:rPr>
      </w:pPr>
    </w:p>
    <w:p w14:paraId="4C62ED30" w14:textId="2D0221A8"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t>The total disallowances of P2.82</w:t>
      </w:r>
      <w:r w:rsidR="007924A0" w:rsidRPr="004C4F6D">
        <w:rPr>
          <w:rFonts w:ascii="Arial" w:eastAsia="Times New Roman" w:hAnsi="Arial" w:cs="Arial"/>
          <w:bCs/>
        </w:rPr>
        <w:t>5</w:t>
      </w:r>
      <w:r w:rsidRPr="004C4F6D">
        <w:rPr>
          <w:rFonts w:ascii="Arial" w:eastAsia="Times New Roman" w:hAnsi="Arial" w:cs="Arial"/>
          <w:bCs/>
        </w:rPr>
        <w:t xml:space="preserve"> billion consists of P2.800 billion Priority Development Assistance Fund and Development Acceleration Program from National Livelihood Development Corporation, P0.016 billion payments of benefits and allowances to LBP Board of Directors, officers</w:t>
      </w:r>
      <w:r w:rsidR="00624F80" w:rsidRPr="004C4F6D">
        <w:rPr>
          <w:rFonts w:ascii="Arial" w:eastAsia="Times New Roman" w:hAnsi="Arial" w:cs="Arial"/>
          <w:bCs/>
        </w:rPr>
        <w:t>,</w:t>
      </w:r>
      <w:r w:rsidRPr="004C4F6D">
        <w:rPr>
          <w:rFonts w:ascii="Arial" w:eastAsia="Times New Roman" w:hAnsi="Arial" w:cs="Arial"/>
          <w:bCs/>
        </w:rPr>
        <w:t xml:space="preserve"> and employees, and P0.009 billion payments for other expenses which were not in accordance with existing laws, rules and regulations.  Management has pending appeals with the Commission on the Notices of Disallowance, in accordance with the Revised Rules and Procedures of the Commission on Audit. </w:t>
      </w:r>
    </w:p>
    <w:p w14:paraId="0A321AB0" w14:textId="77777777" w:rsidR="00312FC6" w:rsidRPr="004C4F6D" w:rsidRDefault="00312FC6" w:rsidP="004C4F6D">
      <w:pPr>
        <w:pStyle w:val="ListParagraph"/>
        <w:spacing w:after="0" w:line="240" w:lineRule="auto"/>
        <w:ind w:left="0"/>
        <w:jc w:val="both"/>
        <w:rPr>
          <w:rFonts w:ascii="Arial" w:eastAsia="Times New Roman" w:hAnsi="Arial" w:cs="Arial"/>
          <w:bCs/>
          <w:sz w:val="20"/>
          <w:szCs w:val="20"/>
        </w:rPr>
      </w:pPr>
    </w:p>
    <w:p w14:paraId="3F369A05" w14:textId="16203572"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bCs/>
        </w:rPr>
      </w:pPr>
      <w:r w:rsidRPr="004C4F6D">
        <w:rPr>
          <w:rFonts w:ascii="Arial" w:eastAsia="Times New Roman" w:hAnsi="Arial" w:cs="Arial"/>
          <w:bCs/>
        </w:rPr>
        <w:t xml:space="preserve">The total suspensions of </w:t>
      </w:r>
      <w:r w:rsidR="007924A0" w:rsidRPr="004C4F6D">
        <w:rPr>
          <w:rFonts w:ascii="Arial" w:eastAsia="Times New Roman" w:hAnsi="Arial" w:cs="Arial"/>
          <w:bCs/>
        </w:rPr>
        <w:t>P</w:t>
      </w:r>
      <w:r w:rsidR="007924A0" w:rsidRPr="004C4F6D">
        <w:rPr>
          <w:rFonts w:ascii="Arial" w:eastAsia="Times New Roman" w:hAnsi="Arial" w:cs="Arial"/>
        </w:rPr>
        <w:t xml:space="preserve">22,371,830.10 </w:t>
      </w:r>
      <w:r w:rsidRPr="004C4F6D">
        <w:rPr>
          <w:rFonts w:ascii="Arial" w:eastAsia="Times New Roman" w:hAnsi="Arial" w:cs="Arial"/>
          <w:bCs/>
        </w:rPr>
        <w:t xml:space="preserve">issued by Audit Teams in Regions VI and IX pertain to payments of various expenses without complete supporting documents.  </w:t>
      </w:r>
    </w:p>
    <w:p w14:paraId="2CBF819E" w14:textId="77777777" w:rsidR="00312FC6" w:rsidRPr="004C4F6D" w:rsidRDefault="00312FC6" w:rsidP="004C4F6D">
      <w:pPr>
        <w:pStyle w:val="ListParagraph"/>
        <w:spacing w:after="0" w:line="240" w:lineRule="auto"/>
        <w:ind w:left="0"/>
        <w:jc w:val="both"/>
        <w:rPr>
          <w:rFonts w:ascii="Arial" w:eastAsia="Times New Roman" w:hAnsi="Arial" w:cs="Arial"/>
          <w:lang w:val="en-US"/>
        </w:rPr>
      </w:pPr>
    </w:p>
    <w:p w14:paraId="07A373EC" w14:textId="3A4297A7" w:rsidR="00312FC6" w:rsidRPr="004C4F6D" w:rsidRDefault="003919DE" w:rsidP="004C4F6D">
      <w:pPr>
        <w:pStyle w:val="ListParagraph"/>
        <w:numPr>
          <w:ilvl w:val="1"/>
          <w:numId w:val="42"/>
        </w:numPr>
        <w:spacing w:after="0" w:line="240" w:lineRule="auto"/>
        <w:ind w:left="0" w:firstLine="0"/>
        <w:jc w:val="both"/>
        <w:rPr>
          <w:rFonts w:ascii="Arial" w:eastAsia="Times New Roman" w:hAnsi="Arial" w:cs="Arial"/>
          <w:lang w:val="en-US"/>
        </w:rPr>
      </w:pPr>
      <w:r w:rsidRPr="004C4F6D">
        <w:rPr>
          <w:rFonts w:ascii="Arial" w:eastAsia="Times New Roman" w:hAnsi="Arial" w:cs="Arial"/>
          <w:bCs/>
        </w:rPr>
        <w:t>There are no audit charges as at December 31, 2022.</w:t>
      </w:r>
    </w:p>
    <w:sectPr w:rsidR="00312FC6" w:rsidRPr="004C4F6D" w:rsidSect="00EA4660">
      <w:footerReference w:type="even" r:id="rId8"/>
      <w:footerReference w:type="default" r:id="rId9"/>
      <w:pgSz w:w="12240" w:h="15840" w:code="1"/>
      <w:pgMar w:top="1440" w:right="1440" w:bottom="1440" w:left="1423" w:header="720" w:footer="720" w:gutter="720"/>
      <w:paperSrc w:first="259" w:other="259"/>
      <w:pgNumType w:start="10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79B7" w14:textId="77777777" w:rsidR="002854CF" w:rsidRDefault="002854CF">
      <w:pPr>
        <w:spacing w:line="240" w:lineRule="auto"/>
      </w:pPr>
      <w:r>
        <w:separator/>
      </w:r>
    </w:p>
  </w:endnote>
  <w:endnote w:type="continuationSeparator" w:id="0">
    <w:p w14:paraId="515827F2" w14:textId="77777777" w:rsidR="002854CF" w:rsidRDefault="00285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774663"/>
      <w:docPartObj>
        <w:docPartGallery w:val="Page Numbers (Bottom of Page)"/>
        <w:docPartUnique/>
      </w:docPartObj>
    </w:sdtPr>
    <w:sdtEndPr>
      <w:rPr>
        <w:rStyle w:val="PageNumber"/>
      </w:rPr>
    </w:sdtEndPr>
    <w:sdtContent>
      <w:p w14:paraId="46D91317" w14:textId="2AB557E5" w:rsidR="002B70D3" w:rsidRDefault="002B70D3" w:rsidP="001373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sdtContent>
  </w:sdt>
  <w:p w14:paraId="3D4C4B58" w14:textId="77777777" w:rsidR="002B70D3" w:rsidRDefault="002B70D3" w:rsidP="00113A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9659" w14:textId="6836F509" w:rsidR="002B70D3" w:rsidRPr="002F1504" w:rsidRDefault="002B70D3" w:rsidP="002F1504">
    <w:pPr>
      <w:pStyle w:val="Footer"/>
      <w:tabs>
        <w:tab w:val="clear" w:pos="4680"/>
        <w:tab w:val="clear" w:pos="9360"/>
      </w:tabs>
      <w:jc w:val="right"/>
      <w:rPr>
        <w:rFonts w:ascii="Arial" w:hAnsi="Arial" w:cs="Arial"/>
        <w:caps/>
        <w:noProof/>
        <w:sz w:val="20"/>
        <w:szCs w:val="20"/>
      </w:rPr>
    </w:pPr>
    <w:r w:rsidRPr="002F1504">
      <w:rPr>
        <w:rFonts w:ascii="Arial" w:hAnsi="Arial" w:cs="Arial"/>
        <w:caps/>
        <w:sz w:val="20"/>
        <w:szCs w:val="20"/>
      </w:rPr>
      <w:t xml:space="preserve">            </w:t>
    </w:r>
    <w:r w:rsidRPr="002F1504">
      <w:rPr>
        <w:rFonts w:ascii="Arial" w:hAnsi="Arial" w:cs="Arial"/>
        <w:caps/>
        <w:sz w:val="20"/>
        <w:szCs w:val="20"/>
      </w:rPr>
      <w:fldChar w:fldCharType="begin"/>
    </w:r>
    <w:r w:rsidRPr="002F1504">
      <w:rPr>
        <w:rFonts w:ascii="Arial" w:hAnsi="Arial" w:cs="Arial"/>
        <w:caps/>
        <w:sz w:val="20"/>
        <w:szCs w:val="20"/>
      </w:rPr>
      <w:instrText xml:space="preserve"> PAGE   \* MERGEFORMAT </w:instrText>
    </w:r>
    <w:r w:rsidRPr="002F1504">
      <w:rPr>
        <w:rFonts w:ascii="Arial" w:hAnsi="Arial" w:cs="Arial"/>
        <w:caps/>
        <w:sz w:val="20"/>
        <w:szCs w:val="20"/>
      </w:rPr>
      <w:fldChar w:fldCharType="separate"/>
    </w:r>
    <w:r>
      <w:rPr>
        <w:rFonts w:ascii="Arial" w:hAnsi="Arial" w:cs="Arial"/>
        <w:caps/>
        <w:noProof/>
        <w:sz w:val="20"/>
        <w:szCs w:val="20"/>
      </w:rPr>
      <w:t>105</w:t>
    </w:r>
    <w:r w:rsidRPr="002F1504">
      <w:rPr>
        <w:rFonts w:ascii="Arial" w:hAnsi="Arial" w:cs="Arial"/>
        <w:caps/>
        <w:noProof/>
        <w:sz w:val="20"/>
        <w:szCs w:val="20"/>
      </w:rPr>
      <w:fldChar w:fldCharType="end"/>
    </w:r>
  </w:p>
  <w:p w14:paraId="7784D7AA" w14:textId="77777777" w:rsidR="002B70D3" w:rsidRDefault="002B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B872" w14:textId="77777777" w:rsidR="002854CF" w:rsidRDefault="002854CF">
      <w:pPr>
        <w:spacing w:after="0"/>
      </w:pPr>
      <w:r>
        <w:separator/>
      </w:r>
    </w:p>
  </w:footnote>
  <w:footnote w:type="continuationSeparator" w:id="0">
    <w:p w14:paraId="1090CEE8" w14:textId="77777777" w:rsidR="002854CF" w:rsidRDefault="002854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A3079"/>
    <w:multiLevelType w:val="singleLevel"/>
    <w:tmpl w:val="85EA3079"/>
    <w:lvl w:ilvl="0">
      <w:start w:val="1"/>
      <w:numFmt w:val="lowerLetter"/>
      <w:suff w:val="space"/>
      <w:lvlText w:val="%1."/>
      <w:lvlJc w:val="left"/>
    </w:lvl>
  </w:abstractNum>
  <w:abstractNum w:abstractNumId="1" w15:restartNumberingAfterBreak="0">
    <w:nsid w:val="8BCF84FC"/>
    <w:multiLevelType w:val="singleLevel"/>
    <w:tmpl w:val="8BCF84FC"/>
    <w:lvl w:ilvl="0">
      <w:start w:val="1"/>
      <w:numFmt w:val="lowerLetter"/>
      <w:suff w:val="space"/>
      <w:lvlText w:val="%1."/>
      <w:lvlJc w:val="left"/>
    </w:lvl>
  </w:abstractNum>
  <w:abstractNum w:abstractNumId="2" w15:restartNumberingAfterBreak="0">
    <w:nsid w:val="E7FAAEE1"/>
    <w:multiLevelType w:val="singleLevel"/>
    <w:tmpl w:val="E7FAAEE1"/>
    <w:lvl w:ilvl="0">
      <w:start w:val="2"/>
      <w:numFmt w:val="decimal"/>
      <w:suff w:val="space"/>
      <w:lvlText w:val="%1)"/>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84443C0"/>
    <w:multiLevelType w:val="multilevel"/>
    <w:tmpl w:val="B18E1B7E"/>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DF504C"/>
    <w:multiLevelType w:val="multilevel"/>
    <w:tmpl w:val="0ADF504C"/>
    <w:lvl w:ilvl="0">
      <w:start w:val="1"/>
      <w:numFmt w:val="lowerLetter"/>
      <w:lvlText w:val="%1."/>
      <w:lvlJc w:val="left"/>
      <w:pPr>
        <w:ind w:left="4500" w:hanging="360"/>
      </w:pPr>
      <w:rPr>
        <w:u w:val="none"/>
      </w:rPr>
    </w:lvl>
    <w:lvl w:ilvl="1">
      <w:start w:val="1"/>
      <w:numFmt w:val="lowerRoman"/>
      <w:lvlText w:val="%2."/>
      <w:lvlJc w:val="right"/>
      <w:pPr>
        <w:ind w:left="5220" w:hanging="360"/>
      </w:pPr>
      <w:rPr>
        <w:u w:val="none"/>
      </w:rPr>
    </w:lvl>
    <w:lvl w:ilvl="2">
      <w:start w:val="1"/>
      <w:numFmt w:val="decimal"/>
      <w:lvlText w:val="%3."/>
      <w:lvlJc w:val="left"/>
      <w:pPr>
        <w:ind w:left="5940" w:hanging="360"/>
      </w:pPr>
      <w:rPr>
        <w:u w:val="none"/>
      </w:rPr>
    </w:lvl>
    <w:lvl w:ilvl="3">
      <w:start w:val="1"/>
      <w:numFmt w:val="lowerLetter"/>
      <w:lvlText w:val="%4."/>
      <w:lvlJc w:val="left"/>
      <w:pPr>
        <w:ind w:left="6660" w:hanging="360"/>
      </w:pPr>
      <w:rPr>
        <w:u w:val="none"/>
      </w:rPr>
    </w:lvl>
    <w:lvl w:ilvl="4">
      <w:start w:val="1"/>
      <w:numFmt w:val="lowerRoman"/>
      <w:lvlText w:val="%5."/>
      <w:lvlJc w:val="right"/>
      <w:pPr>
        <w:ind w:left="7380" w:hanging="360"/>
      </w:pPr>
      <w:rPr>
        <w:u w:val="none"/>
      </w:rPr>
    </w:lvl>
    <w:lvl w:ilvl="5">
      <w:start w:val="1"/>
      <w:numFmt w:val="decimal"/>
      <w:lvlText w:val="%6."/>
      <w:lvlJc w:val="left"/>
      <w:pPr>
        <w:ind w:left="8100" w:hanging="360"/>
      </w:pPr>
      <w:rPr>
        <w:u w:val="none"/>
      </w:rPr>
    </w:lvl>
    <w:lvl w:ilvl="6">
      <w:start w:val="1"/>
      <w:numFmt w:val="lowerLetter"/>
      <w:lvlText w:val="%7."/>
      <w:lvlJc w:val="left"/>
      <w:pPr>
        <w:ind w:left="8820" w:hanging="360"/>
      </w:pPr>
      <w:rPr>
        <w:u w:val="none"/>
      </w:rPr>
    </w:lvl>
    <w:lvl w:ilvl="7">
      <w:start w:val="1"/>
      <w:numFmt w:val="lowerRoman"/>
      <w:lvlText w:val="%8."/>
      <w:lvlJc w:val="right"/>
      <w:pPr>
        <w:ind w:left="9540" w:hanging="360"/>
      </w:pPr>
      <w:rPr>
        <w:u w:val="none"/>
      </w:rPr>
    </w:lvl>
    <w:lvl w:ilvl="8">
      <w:start w:val="1"/>
      <w:numFmt w:val="decimal"/>
      <w:lvlText w:val="%9."/>
      <w:lvlJc w:val="left"/>
      <w:pPr>
        <w:ind w:left="10260" w:hanging="360"/>
      </w:pPr>
      <w:rPr>
        <w:u w:val="none"/>
      </w:rPr>
    </w:lvl>
  </w:abstractNum>
  <w:abstractNum w:abstractNumId="6" w15:restartNumberingAfterBreak="0">
    <w:nsid w:val="0B62DCCB"/>
    <w:multiLevelType w:val="singleLevel"/>
    <w:tmpl w:val="0B62DCCB"/>
    <w:lvl w:ilvl="0">
      <w:start w:val="1"/>
      <w:numFmt w:val="lowerLetter"/>
      <w:suff w:val="space"/>
      <w:lvlText w:val="%1."/>
      <w:lvlJc w:val="left"/>
    </w:lvl>
  </w:abstractNum>
  <w:abstractNum w:abstractNumId="7" w15:restartNumberingAfterBreak="0">
    <w:nsid w:val="1B349954"/>
    <w:multiLevelType w:val="singleLevel"/>
    <w:tmpl w:val="4CEEDF14"/>
    <w:lvl w:ilvl="0">
      <w:start w:val="1"/>
      <w:numFmt w:val="lowerLetter"/>
      <w:lvlText w:val="%1."/>
      <w:lvlJc w:val="left"/>
      <w:rPr>
        <w:b/>
      </w:rPr>
    </w:lvl>
  </w:abstractNum>
  <w:abstractNum w:abstractNumId="8" w15:restartNumberingAfterBreak="0">
    <w:nsid w:val="1E1D7B45"/>
    <w:multiLevelType w:val="multilevel"/>
    <w:tmpl w:val="1E1D7B45"/>
    <w:lvl w:ilvl="0">
      <w:start w:val="7"/>
      <w:numFmt w:val="decimal"/>
      <w:lvlText w:val="%1."/>
      <w:lvlJc w:val="left"/>
      <w:pPr>
        <w:ind w:left="720" w:hanging="360"/>
      </w:pPr>
      <w:rPr>
        <w:rFonts w:hint="default"/>
      </w:rPr>
    </w:lvl>
    <w:lvl w:ilvl="1">
      <w:start w:val="1"/>
      <w:numFmt w:val="lowerLetter"/>
      <w:lvlText w:val="%2."/>
      <w:lvlJc w:val="left"/>
      <w:pPr>
        <w:ind w:left="1070" w:hanging="360"/>
      </w:pPr>
      <w:rPr>
        <w:rFonts w:hint="default"/>
      </w:rPr>
    </w:lvl>
    <w:lvl w:ilvl="2">
      <w:start w:val="1"/>
      <w:numFmt w:val="upperLetter"/>
      <w:lvlText w:val="%3."/>
      <w:lvlJc w:val="left"/>
      <w:pPr>
        <w:ind w:left="2340" w:hanging="360"/>
      </w:pPr>
      <w:rPr>
        <w:rFonts w:hint="default"/>
        <w:i/>
        <w:u w:val="singl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F41E86"/>
    <w:multiLevelType w:val="multilevel"/>
    <w:tmpl w:val="1FF41E8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24B74BEE"/>
    <w:multiLevelType w:val="multilevel"/>
    <w:tmpl w:val="24B74BE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none"/>
      <w:pStyle w:val="Heading3"/>
      <w:lvlText w:val="a."/>
      <w:lvlJc w:val="left"/>
      <w:pPr>
        <w:tabs>
          <w:tab w:val="left" w:pos="144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24BC037E"/>
    <w:multiLevelType w:val="multilevel"/>
    <w:tmpl w:val="24BC037E"/>
    <w:lvl w:ilvl="0">
      <w:start w:val="1"/>
      <w:numFmt w:val="decimal"/>
      <w:lvlText w:val="%1."/>
      <w:lvlJc w:val="left"/>
      <w:pPr>
        <w:ind w:left="1440" w:hanging="360"/>
      </w:pPr>
      <w:rPr>
        <w:i w:val="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27024186"/>
    <w:multiLevelType w:val="multilevel"/>
    <w:tmpl w:val="FDEA900E"/>
    <w:lvl w:ilvl="0">
      <w:start w:val="2"/>
      <w:numFmt w:val="decimal"/>
      <w:lvlText w:val="%1"/>
      <w:lvlJc w:val="left"/>
      <w:pPr>
        <w:ind w:left="360" w:hanging="360"/>
      </w:pPr>
      <w:rPr>
        <w:rFonts w:hint="default"/>
        <w:b w:val="0"/>
      </w:rPr>
    </w:lvl>
    <w:lvl w:ilvl="1">
      <w:start w:val="1"/>
      <w:numFmt w:val="decimal"/>
      <w:lvlText w:val="%1.%2"/>
      <w:lvlJc w:val="left"/>
      <w:pPr>
        <w:ind w:left="8299" w:hanging="360"/>
      </w:pPr>
      <w:rPr>
        <w:rFonts w:ascii="Arial" w:hAnsi="Arial" w:cs="Arial" w:hint="default"/>
        <w:b w:val="0"/>
        <w:i w:val="0"/>
        <w:i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B0648C9"/>
    <w:multiLevelType w:val="multilevel"/>
    <w:tmpl w:val="F6BE8EDA"/>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36370F"/>
    <w:multiLevelType w:val="multilevel"/>
    <w:tmpl w:val="7FA2D15A"/>
    <w:lvl w:ilvl="0">
      <w:start w:val="1"/>
      <w:numFmt w:val="lowerLetter"/>
      <w:lvlText w:val="%1."/>
      <w:lvlJc w:val="left"/>
      <w:pPr>
        <w:ind w:left="782" w:hanging="360"/>
      </w:pPr>
      <w:rPr>
        <w:b/>
        <w:bCs/>
        <w:vertAlign w:val="baseline"/>
      </w:rPr>
    </w:lvl>
    <w:lvl w:ilvl="1">
      <w:start w:val="1"/>
      <w:numFmt w:val="lowerLetter"/>
      <w:lvlText w:val="%2."/>
      <w:lvlJc w:val="left"/>
      <w:pPr>
        <w:ind w:left="1502" w:hanging="360"/>
      </w:pPr>
      <w:rPr>
        <w:vertAlign w:val="baseline"/>
      </w:rPr>
    </w:lvl>
    <w:lvl w:ilvl="2">
      <w:start w:val="1"/>
      <w:numFmt w:val="lowerRoman"/>
      <w:lvlText w:val="%3."/>
      <w:lvlJc w:val="right"/>
      <w:pPr>
        <w:ind w:left="2222" w:hanging="180"/>
      </w:pPr>
      <w:rPr>
        <w:b w:val="0"/>
        <w:bCs/>
        <w:vertAlign w:val="baseline"/>
      </w:rPr>
    </w:lvl>
    <w:lvl w:ilvl="3">
      <w:start w:val="1"/>
      <w:numFmt w:val="decimal"/>
      <w:lvlText w:val="%4."/>
      <w:lvlJc w:val="left"/>
      <w:pPr>
        <w:ind w:left="2942" w:hanging="360"/>
      </w:pPr>
      <w:rPr>
        <w:vertAlign w:val="baseline"/>
      </w:rPr>
    </w:lvl>
    <w:lvl w:ilvl="4">
      <w:start w:val="1"/>
      <w:numFmt w:val="lowerLetter"/>
      <w:lvlText w:val="%5."/>
      <w:lvlJc w:val="left"/>
      <w:pPr>
        <w:ind w:left="1353" w:hanging="360"/>
      </w:pPr>
      <w:rPr>
        <w:vertAlign w:val="baseline"/>
      </w:rPr>
    </w:lvl>
    <w:lvl w:ilvl="5">
      <w:start w:val="1"/>
      <w:numFmt w:val="lowerRoman"/>
      <w:lvlText w:val="%6."/>
      <w:lvlJc w:val="right"/>
      <w:pPr>
        <w:ind w:left="4382" w:hanging="180"/>
      </w:pPr>
      <w:rPr>
        <w:vertAlign w:val="baseline"/>
      </w:rPr>
    </w:lvl>
    <w:lvl w:ilvl="6">
      <w:start w:val="1"/>
      <w:numFmt w:val="decimal"/>
      <w:lvlText w:val="%7."/>
      <w:lvlJc w:val="left"/>
      <w:pPr>
        <w:ind w:left="5102" w:hanging="360"/>
      </w:pPr>
      <w:rPr>
        <w:vertAlign w:val="baseline"/>
      </w:rPr>
    </w:lvl>
    <w:lvl w:ilvl="7">
      <w:start w:val="1"/>
      <w:numFmt w:val="lowerLetter"/>
      <w:lvlText w:val="%8."/>
      <w:lvlJc w:val="left"/>
      <w:pPr>
        <w:ind w:left="5822" w:hanging="360"/>
      </w:pPr>
      <w:rPr>
        <w:vertAlign w:val="baseline"/>
      </w:rPr>
    </w:lvl>
    <w:lvl w:ilvl="8">
      <w:start w:val="1"/>
      <w:numFmt w:val="lowerRoman"/>
      <w:lvlText w:val="%9."/>
      <w:lvlJc w:val="right"/>
      <w:pPr>
        <w:ind w:left="6542" w:hanging="180"/>
      </w:pPr>
      <w:rPr>
        <w:vertAlign w:val="baseline"/>
      </w:rPr>
    </w:lvl>
  </w:abstractNum>
  <w:abstractNum w:abstractNumId="15" w15:restartNumberingAfterBreak="0">
    <w:nsid w:val="306D0F0E"/>
    <w:multiLevelType w:val="multilevel"/>
    <w:tmpl w:val="306D0F0E"/>
    <w:lvl w:ilvl="0">
      <w:start w:val="1"/>
      <w:numFmt w:val="decimal"/>
      <w:lvlText w:val="%1."/>
      <w:lvlJc w:val="left"/>
      <w:pPr>
        <w:ind w:left="0" w:firstLine="0"/>
      </w:pPr>
      <w:rPr>
        <w:rFonts w:hint="default"/>
        <w:vertAlign w:val="baseline"/>
      </w:rPr>
    </w:lvl>
    <w:lvl w:ilvl="1">
      <w:start w:val="1"/>
      <w:numFmt w:val="decimal"/>
      <w:lvlText w:val="%1.%2"/>
      <w:lvlJc w:val="left"/>
      <w:pPr>
        <w:ind w:left="0" w:firstLine="0"/>
      </w:pPr>
      <w:rPr>
        <w:rFonts w:hint="default"/>
        <w:b w:val="0"/>
        <w:color w:val="000000"/>
        <w:vertAlign w:val="baseline"/>
      </w:rPr>
    </w:lvl>
    <w:lvl w:ilvl="2">
      <w:start w:val="2"/>
      <w:numFmt w:val="lowerLetter"/>
      <w:lvlText w:val="%3."/>
      <w:lvlJc w:val="left"/>
      <w:pPr>
        <w:ind w:left="720" w:firstLine="0"/>
      </w:pPr>
      <w:rPr>
        <w:rFonts w:hint="default"/>
        <w:b/>
        <w:vertAlign w:val="baseline"/>
      </w:rPr>
    </w:lvl>
    <w:lvl w:ilvl="3">
      <w:start w:val="1"/>
      <w:numFmt w:val="decimal"/>
      <w:lvlText w:val="%3.%4"/>
      <w:lvlJc w:val="left"/>
      <w:pPr>
        <w:ind w:left="720" w:firstLine="0"/>
      </w:pPr>
      <w:rPr>
        <w:rFonts w:hint="default"/>
        <w:vertAlign w:val="baseline"/>
      </w:rPr>
    </w:lvl>
    <w:lvl w:ilvl="4">
      <w:start w:val="1"/>
      <w:numFmt w:val="lowerRoman"/>
      <w:lvlText w:val="%5."/>
      <w:lvlJc w:val="left"/>
      <w:pPr>
        <w:ind w:left="1440" w:firstLine="0"/>
      </w:pPr>
      <w:rPr>
        <w:rFonts w:hint="default"/>
        <w:vertAlign w:val="baseline"/>
      </w:rPr>
    </w:lvl>
    <w:lvl w:ilvl="5">
      <w:start w:val="1"/>
      <w:numFmt w:val="bullet"/>
      <w:lvlText w:val="●"/>
      <w:lvlJc w:val="left"/>
      <w:pPr>
        <w:ind w:left="2160" w:firstLine="0"/>
      </w:pPr>
      <w:rPr>
        <w:rFonts w:ascii="Noto Sans Symbols" w:eastAsia="Noto Sans Symbols" w:hAnsi="Noto Sans Symbols" w:cs="Noto Sans Symbols" w:hint="default"/>
        <w:vertAlign w:val="baseline"/>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b/>
        <w:vertAlign w:val="baseline"/>
      </w:rPr>
    </w:lvl>
    <w:lvl w:ilvl="8">
      <w:start w:val="1"/>
      <w:numFmt w:val="lowerRoman"/>
      <w:lvlText w:val="%9."/>
      <w:lvlJc w:val="left"/>
      <w:pPr>
        <w:ind w:left="3240" w:hanging="360"/>
      </w:pPr>
      <w:rPr>
        <w:rFonts w:hint="default"/>
        <w:vertAlign w:val="baseline"/>
      </w:rPr>
    </w:lvl>
  </w:abstractNum>
  <w:abstractNum w:abstractNumId="16" w15:restartNumberingAfterBreak="0">
    <w:nsid w:val="3283177A"/>
    <w:multiLevelType w:val="multilevel"/>
    <w:tmpl w:val="D0FE60F8"/>
    <w:lvl w:ilvl="0">
      <w:start w:val="10"/>
      <w:numFmt w:val="decimal"/>
      <w:lvlText w:val="%1."/>
      <w:lvlJc w:val="left"/>
      <w:pPr>
        <w:ind w:left="720" w:hanging="360"/>
      </w:pPr>
      <w:rPr>
        <w:rFonts w:hint="default"/>
        <w:b w:val="0"/>
        <w:bCs w:val="0"/>
      </w:rPr>
    </w:lvl>
    <w:lvl w:ilvl="1">
      <w:start w:val="1"/>
      <w:numFmt w:val="decimal"/>
      <w:isLgl/>
      <w:lvlText w:val="%1.%2"/>
      <w:lvlJc w:val="left"/>
      <w:pPr>
        <w:ind w:left="720" w:hanging="360"/>
      </w:pPr>
      <w:rPr>
        <w:rFonts w:ascii="Arial" w:hAnsi="Arial" w:cs="Arial" w:hint="default"/>
        <w:b w:val="0"/>
        <w:i w:val="0"/>
        <w:iCs/>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lowerLetter"/>
      <w:lvlText w:val="%8."/>
      <w:lvlJc w:val="left"/>
      <w:pPr>
        <w:ind w:left="1890" w:hanging="1440"/>
      </w:pPr>
      <w:rPr>
        <w:rFonts w:ascii="Arial" w:eastAsia="Arial Narrow" w:hAnsi="Arial" w:cs="Arial" w:hint="default"/>
      </w:rPr>
    </w:lvl>
    <w:lvl w:ilvl="8">
      <w:start w:val="1"/>
      <w:numFmt w:val="decimal"/>
      <w:isLgl/>
      <w:lvlText w:val="%1.%2.%3.%4.%5.%6.%7.%8.%9"/>
      <w:lvlJc w:val="left"/>
      <w:pPr>
        <w:ind w:left="1800" w:hanging="1440"/>
      </w:pPr>
      <w:rPr>
        <w:rFonts w:hint="default"/>
      </w:rPr>
    </w:lvl>
  </w:abstractNum>
  <w:abstractNum w:abstractNumId="17" w15:restartNumberingAfterBreak="0">
    <w:nsid w:val="33895438"/>
    <w:multiLevelType w:val="multilevel"/>
    <w:tmpl w:val="33895438"/>
    <w:lvl w:ilvl="0">
      <w:start w:val="1"/>
      <w:numFmt w:val="decimal"/>
      <w:lvlText w:val="%1."/>
      <w:lvlJc w:val="left"/>
      <w:pPr>
        <w:ind w:left="720" w:hanging="360"/>
      </w:pPr>
      <w:rPr>
        <w:vertAlign w:val="baseline"/>
      </w:rPr>
    </w:lvl>
    <w:lvl w:ilvl="1">
      <w:start w:val="1"/>
      <w:numFmt w:val="lowerLetter"/>
      <w:lvlText w:val="%2."/>
      <w:lvlJc w:val="left"/>
      <w:pPr>
        <w:ind w:left="1440" w:hanging="360"/>
      </w:pPr>
      <w:rPr>
        <w:b/>
        <w:bCs/>
        <w:vertAlign w:val="baseline"/>
      </w:rPr>
    </w:lvl>
    <w:lvl w:ilvl="2">
      <w:start w:val="2"/>
      <w:numFmt w:val="lowerRoman"/>
      <w:lvlText w:val="%3."/>
      <w:lvlJc w:val="left"/>
      <w:pPr>
        <w:ind w:left="2700" w:hanging="72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b/>
        <w:bCs/>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4780DDF"/>
    <w:multiLevelType w:val="hybridMultilevel"/>
    <w:tmpl w:val="2A28B424"/>
    <w:lvl w:ilvl="0" w:tplc="71DEC45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4CE77B1"/>
    <w:multiLevelType w:val="multilevel"/>
    <w:tmpl w:val="34CE77B1"/>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0" w15:restartNumberingAfterBreak="0">
    <w:nsid w:val="360176C7"/>
    <w:multiLevelType w:val="multilevel"/>
    <w:tmpl w:val="360176C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9A768AD"/>
    <w:multiLevelType w:val="multilevel"/>
    <w:tmpl w:val="39A768AD"/>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2" w15:restartNumberingAfterBreak="0">
    <w:nsid w:val="3E4C2124"/>
    <w:multiLevelType w:val="multilevel"/>
    <w:tmpl w:val="3E4C212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F8D44D5"/>
    <w:multiLevelType w:val="multilevel"/>
    <w:tmpl w:val="3F8D44D5"/>
    <w:lvl w:ilvl="0">
      <w:start w:val="1"/>
      <w:numFmt w:val="lowerLetter"/>
      <w:lvlText w:val="%1."/>
      <w:lvlJc w:val="left"/>
      <w:pPr>
        <w:ind w:left="1264" w:hanging="360"/>
      </w:pPr>
      <w:rPr>
        <w:rFonts w:hint="default"/>
      </w:rPr>
    </w:lvl>
    <w:lvl w:ilvl="1">
      <w:start w:val="1"/>
      <w:numFmt w:val="lowerLetter"/>
      <w:lvlText w:val="%2."/>
      <w:lvlJc w:val="left"/>
      <w:pPr>
        <w:ind w:left="1984" w:hanging="360"/>
      </w:pPr>
    </w:lvl>
    <w:lvl w:ilvl="2">
      <w:start w:val="1"/>
      <w:numFmt w:val="lowerRoman"/>
      <w:lvlText w:val="%3."/>
      <w:lvlJc w:val="right"/>
      <w:pPr>
        <w:ind w:left="2704" w:hanging="180"/>
      </w:pPr>
    </w:lvl>
    <w:lvl w:ilvl="3">
      <w:start w:val="1"/>
      <w:numFmt w:val="decimal"/>
      <w:lvlText w:val="%4."/>
      <w:lvlJc w:val="left"/>
      <w:pPr>
        <w:ind w:left="3424" w:hanging="360"/>
      </w:pPr>
    </w:lvl>
    <w:lvl w:ilvl="4">
      <w:start w:val="1"/>
      <w:numFmt w:val="lowerLetter"/>
      <w:lvlText w:val="%5."/>
      <w:lvlJc w:val="left"/>
      <w:pPr>
        <w:ind w:left="4144" w:hanging="360"/>
      </w:pPr>
    </w:lvl>
    <w:lvl w:ilvl="5">
      <w:start w:val="1"/>
      <w:numFmt w:val="lowerRoman"/>
      <w:lvlText w:val="%6."/>
      <w:lvlJc w:val="right"/>
      <w:pPr>
        <w:ind w:left="4864" w:hanging="180"/>
      </w:pPr>
    </w:lvl>
    <w:lvl w:ilvl="6">
      <w:start w:val="1"/>
      <w:numFmt w:val="decimal"/>
      <w:lvlText w:val="%7."/>
      <w:lvlJc w:val="left"/>
      <w:pPr>
        <w:ind w:left="5584" w:hanging="360"/>
      </w:pPr>
    </w:lvl>
    <w:lvl w:ilvl="7">
      <w:start w:val="1"/>
      <w:numFmt w:val="lowerLetter"/>
      <w:lvlText w:val="%8."/>
      <w:lvlJc w:val="left"/>
      <w:pPr>
        <w:ind w:left="6304" w:hanging="360"/>
      </w:pPr>
    </w:lvl>
    <w:lvl w:ilvl="8">
      <w:start w:val="1"/>
      <w:numFmt w:val="lowerRoman"/>
      <w:lvlText w:val="%9."/>
      <w:lvlJc w:val="right"/>
      <w:pPr>
        <w:ind w:left="7024" w:hanging="180"/>
      </w:pPr>
    </w:lvl>
  </w:abstractNum>
  <w:abstractNum w:abstractNumId="24" w15:restartNumberingAfterBreak="0">
    <w:nsid w:val="40972C01"/>
    <w:multiLevelType w:val="multilevel"/>
    <w:tmpl w:val="9A6EF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E22ADC"/>
    <w:multiLevelType w:val="multilevel"/>
    <w:tmpl w:val="45E22ADC"/>
    <w:lvl w:ilvl="0">
      <w:start w:val="1"/>
      <w:numFmt w:val="bullet"/>
      <w:lvlText w:val="-"/>
      <w:lvlJc w:val="left"/>
      <w:pPr>
        <w:ind w:left="420" w:hanging="360"/>
      </w:pPr>
      <w:rPr>
        <w:rFonts w:ascii="Arial Narrow" w:eastAsia="Arial Narrow" w:hAnsi="Arial Narrow" w:cs="Arial Narrow"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6" w15:restartNumberingAfterBreak="0">
    <w:nsid w:val="46D21E64"/>
    <w:multiLevelType w:val="multilevel"/>
    <w:tmpl w:val="7FA2D15A"/>
    <w:lvl w:ilvl="0">
      <w:start w:val="1"/>
      <w:numFmt w:val="lowerLetter"/>
      <w:lvlText w:val="%1."/>
      <w:lvlJc w:val="left"/>
      <w:pPr>
        <w:ind w:left="782" w:hanging="360"/>
      </w:pPr>
      <w:rPr>
        <w:b/>
        <w:bCs/>
        <w:vertAlign w:val="baseline"/>
      </w:rPr>
    </w:lvl>
    <w:lvl w:ilvl="1">
      <w:start w:val="1"/>
      <w:numFmt w:val="lowerLetter"/>
      <w:lvlText w:val="%2."/>
      <w:lvlJc w:val="left"/>
      <w:pPr>
        <w:ind w:left="1502" w:hanging="360"/>
      </w:pPr>
      <w:rPr>
        <w:vertAlign w:val="baseline"/>
      </w:rPr>
    </w:lvl>
    <w:lvl w:ilvl="2">
      <w:start w:val="1"/>
      <w:numFmt w:val="lowerRoman"/>
      <w:lvlText w:val="%3."/>
      <w:lvlJc w:val="right"/>
      <w:pPr>
        <w:ind w:left="2222" w:hanging="180"/>
      </w:pPr>
      <w:rPr>
        <w:b w:val="0"/>
        <w:bCs/>
        <w:vertAlign w:val="baseline"/>
      </w:rPr>
    </w:lvl>
    <w:lvl w:ilvl="3">
      <w:start w:val="1"/>
      <w:numFmt w:val="decimal"/>
      <w:lvlText w:val="%4."/>
      <w:lvlJc w:val="left"/>
      <w:pPr>
        <w:ind w:left="2942" w:hanging="360"/>
      </w:pPr>
      <w:rPr>
        <w:vertAlign w:val="baseline"/>
      </w:rPr>
    </w:lvl>
    <w:lvl w:ilvl="4">
      <w:start w:val="1"/>
      <w:numFmt w:val="lowerLetter"/>
      <w:lvlText w:val="%5."/>
      <w:lvlJc w:val="left"/>
      <w:pPr>
        <w:ind w:left="1353" w:hanging="360"/>
      </w:pPr>
      <w:rPr>
        <w:vertAlign w:val="baseline"/>
      </w:rPr>
    </w:lvl>
    <w:lvl w:ilvl="5">
      <w:start w:val="1"/>
      <w:numFmt w:val="lowerRoman"/>
      <w:lvlText w:val="%6."/>
      <w:lvlJc w:val="right"/>
      <w:pPr>
        <w:ind w:left="4382" w:hanging="180"/>
      </w:pPr>
      <w:rPr>
        <w:vertAlign w:val="baseline"/>
      </w:rPr>
    </w:lvl>
    <w:lvl w:ilvl="6">
      <w:start w:val="1"/>
      <w:numFmt w:val="decimal"/>
      <w:lvlText w:val="%7."/>
      <w:lvlJc w:val="left"/>
      <w:pPr>
        <w:ind w:left="5102" w:hanging="360"/>
      </w:pPr>
      <w:rPr>
        <w:vertAlign w:val="baseline"/>
      </w:rPr>
    </w:lvl>
    <w:lvl w:ilvl="7">
      <w:start w:val="1"/>
      <w:numFmt w:val="lowerLetter"/>
      <w:lvlText w:val="%8."/>
      <w:lvlJc w:val="left"/>
      <w:pPr>
        <w:ind w:left="5822" w:hanging="360"/>
      </w:pPr>
      <w:rPr>
        <w:vertAlign w:val="baseline"/>
      </w:rPr>
    </w:lvl>
    <w:lvl w:ilvl="8">
      <w:start w:val="1"/>
      <w:numFmt w:val="lowerRoman"/>
      <w:lvlText w:val="%9."/>
      <w:lvlJc w:val="right"/>
      <w:pPr>
        <w:ind w:left="6542" w:hanging="180"/>
      </w:pPr>
      <w:rPr>
        <w:vertAlign w:val="baseline"/>
      </w:rPr>
    </w:lvl>
  </w:abstractNum>
  <w:abstractNum w:abstractNumId="27" w15:restartNumberingAfterBreak="0">
    <w:nsid w:val="4C44137F"/>
    <w:multiLevelType w:val="multilevel"/>
    <w:tmpl w:val="4C44137F"/>
    <w:lvl w:ilvl="0">
      <w:start w:val="1"/>
      <w:numFmt w:val="decimal"/>
      <w:lvlText w:val="%1."/>
      <w:lvlJc w:val="left"/>
      <w:pPr>
        <w:ind w:left="0" w:firstLine="0"/>
      </w:pPr>
      <w:rPr>
        <w:b w:val="0"/>
        <w:i w:val="0"/>
        <w:color w:val="000000"/>
        <w:sz w:val="22"/>
        <w:szCs w:val="22"/>
        <w:vertAlign w:val="baseline"/>
      </w:rPr>
    </w:lvl>
    <w:lvl w:ilvl="1">
      <w:start w:val="1"/>
      <w:numFmt w:val="decimal"/>
      <w:lvlText w:val="%1.%2"/>
      <w:lvlJc w:val="left"/>
      <w:pPr>
        <w:ind w:left="0" w:firstLine="0"/>
      </w:pPr>
      <w:rPr>
        <w:b w:val="0"/>
        <w:i w:val="0"/>
        <w:color w:val="000000"/>
        <w:sz w:val="22"/>
        <w:szCs w:val="22"/>
        <w:vertAlign w:val="baseline"/>
      </w:rPr>
    </w:lvl>
    <w:lvl w:ilvl="2">
      <w:start w:val="1"/>
      <w:numFmt w:val="decimal"/>
      <w:lvlText w:val="1.1.1"/>
      <w:lvlJc w:val="left"/>
      <w:pPr>
        <w:ind w:left="720" w:firstLine="0"/>
      </w:pPr>
      <w:rPr>
        <w:b w:val="0"/>
        <w:i w:val="0"/>
        <w:color w:val="000000"/>
        <w:vertAlign w:val="baseline"/>
      </w:rPr>
    </w:lvl>
    <w:lvl w:ilvl="3">
      <w:start w:val="1"/>
      <w:numFmt w:val="decimal"/>
      <w:lvlText w:val="%3.%4"/>
      <w:lvlJc w:val="left"/>
      <w:pPr>
        <w:ind w:left="720" w:firstLine="0"/>
      </w:pPr>
      <w:rPr>
        <w:b/>
        <w:i w:val="0"/>
        <w:vertAlign w:val="baseline"/>
      </w:rPr>
    </w:lvl>
    <w:lvl w:ilvl="4">
      <w:start w:val="1"/>
      <w:numFmt w:val="lowerRoman"/>
      <w:lvlText w:val="%5."/>
      <w:lvlJc w:val="left"/>
      <w:pPr>
        <w:ind w:left="1440" w:firstLine="0"/>
      </w:pPr>
      <w:rPr>
        <w:b/>
        <w:i w:val="0"/>
        <w:vertAlign w:val="baseline"/>
      </w:rPr>
    </w:lvl>
    <w:lvl w:ilvl="5">
      <w:start w:val="1"/>
      <w:numFmt w:val="bullet"/>
      <w:lvlText w:val="●"/>
      <w:lvlJc w:val="left"/>
      <w:pPr>
        <w:ind w:left="2160" w:firstLine="0"/>
      </w:pPr>
      <w:rPr>
        <w:rFonts w:ascii="Noto Sans Symbols" w:eastAsia="Noto Sans Symbols" w:hAnsi="Noto Sans Symbols" w:cs="Noto Sans Symbols"/>
        <w:b/>
        <w:i w:val="0"/>
        <w:vertAlign w:val="baseline"/>
      </w:rPr>
    </w:lvl>
    <w:lvl w:ilvl="6">
      <w:start w:val="1"/>
      <w:numFmt w:val="decimal"/>
      <w:lvlText w:val="%7."/>
      <w:lvlJc w:val="left"/>
      <w:pPr>
        <w:ind w:left="2520" w:hanging="360"/>
      </w:pPr>
      <w:rPr>
        <w:b w:val="0"/>
        <w:i w:val="0"/>
        <w:vertAlign w:val="baseline"/>
      </w:rPr>
    </w:lvl>
    <w:lvl w:ilvl="7">
      <w:start w:val="1"/>
      <w:numFmt w:val="lowerLetter"/>
      <w:lvlText w:val="%8."/>
      <w:lvlJc w:val="left"/>
      <w:pPr>
        <w:ind w:left="1170" w:hanging="360"/>
      </w:pPr>
      <w:rPr>
        <w:b w:val="0"/>
        <w:i w:val="0"/>
        <w:sz w:val="22"/>
        <w:szCs w:val="22"/>
        <w:vertAlign w:val="baseline"/>
      </w:rPr>
    </w:lvl>
    <w:lvl w:ilvl="8">
      <w:start w:val="1"/>
      <w:numFmt w:val="lowerRoman"/>
      <w:lvlText w:val="%9."/>
      <w:lvlJc w:val="left"/>
      <w:pPr>
        <w:ind w:left="3240" w:hanging="360"/>
      </w:pPr>
      <w:rPr>
        <w:b/>
        <w:i w:val="0"/>
        <w:vertAlign w:val="baseline"/>
      </w:rPr>
    </w:lvl>
  </w:abstractNum>
  <w:abstractNum w:abstractNumId="28" w15:restartNumberingAfterBreak="0">
    <w:nsid w:val="4DF73ED8"/>
    <w:multiLevelType w:val="multilevel"/>
    <w:tmpl w:val="4A563242"/>
    <w:lvl w:ilvl="0">
      <w:start w:val="9"/>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52C16FFA"/>
    <w:multiLevelType w:val="multilevel"/>
    <w:tmpl w:val="AEA45DFA"/>
    <w:lvl w:ilvl="0">
      <w:start w:val="3"/>
      <w:numFmt w:val="decimal"/>
      <w:lvlText w:val="%1"/>
      <w:lvlJc w:val="left"/>
      <w:pPr>
        <w:ind w:left="420" w:hanging="420"/>
      </w:pPr>
      <w:rPr>
        <w:rFonts w:hint="default"/>
        <w:b/>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A04F68"/>
    <w:multiLevelType w:val="multilevel"/>
    <w:tmpl w:val="54A04F68"/>
    <w:lvl w:ilvl="0">
      <w:start w:val="1"/>
      <w:numFmt w:val="bullet"/>
      <w:lvlText w:val=""/>
      <w:lvlJc w:val="left"/>
      <w:pPr>
        <w:ind w:left="1036" w:hanging="360"/>
      </w:pPr>
      <w:rPr>
        <w:rFonts w:ascii="Wingdings" w:hAnsi="Wingdings" w:hint="default"/>
      </w:rPr>
    </w:lvl>
    <w:lvl w:ilvl="1">
      <w:start w:val="1"/>
      <w:numFmt w:val="bullet"/>
      <w:lvlText w:val="o"/>
      <w:lvlJc w:val="left"/>
      <w:pPr>
        <w:ind w:left="1756" w:hanging="360"/>
      </w:pPr>
      <w:rPr>
        <w:rFonts w:ascii="Courier New" w:hAnsi="Courier New" w:cs="Courier New" w:hint="default"/>
      </w:rPr>
    </w:lvl>
    <w:lvl w:ilvl="2">
      <w:start w:val="1"/>
      <w:numFmt w:val="bullet"/>
      <w:lvlText w:val=""/>
      <w:lvlJc w:val="left"/>
      <w:pPr>
        <w:ind w:left="2476" w:hanging="360"/>
      </w:pPr>
      <w:rPr>
        <w:rFonts w:ascii="Wingdings" w:hAnsi="Wingdings" w:hint="default"/>
      </w:rPr>
    </w:lvl>
    <w:lvl w:ilvl="3">
      <w:start w:val="1"/>
      <w:numFmt w:val="bullet"/>
      <w:lvlText w:val=""/>
      <w:lvlJc w:val="left"/>
      <w:pPr>
        <w:ind w:left="3196" w:hanging="360"/>
      </w:pPr>
      <w:rPr>
        <w:rFonts w:ascii="Symbol" w:hAnsi="Symbol" w:hint="default"/>
      </w:rPr>
    </w:lvl>
    <w:lvl w:ilvl="4">
      <w:start w:val="1"/>
      <w:numFmt w:val="bullet"/>
      <w:lvlText w:val="o"/>
      <w:lvlJc w:val="left"/>
      <w:pPr>
        <w:ind w:left="3916" w:hanging="360"/>
      </w:pPr>
      <w:rPr>
        <w:rFonts w:ascii="Courier New" w:hAnsi="Courier New" w:cs="Courier New" w:hint="default"/>
      </w:rPr>
    </w:lvl>
    <w:lvl w:ilvl="5">
      <w:start w:val="1"/>
      <w:numFmt w:val="bullet"/>
      <w:lvlText w:val=""/>
      <w:lvlJc w:val="left"/>
      <w:pPr>
        <w:ind w:left="4636" w:hanging="360"/>
      </w:pPr>
      <w:rPr>
        <w:rFonts w:ascii="Wingdings" w:hAnsi="Wingdings" w:hint="default"/>
      </w:rPr>
    </w:lvl>
    <w:lvl w:ilvl="6">
      <w:start w:val="1"/>
      <w:numFmt w:val="bullet"/>
      <w:lvlText w:val=""/>
      <w:lvlJc w:val="left"/>
      <w:pPr>
        <w:ind w:left="5356" w:hanging="360"/>
      </w:pPr>
      <w:rPr>
        <w:rFonts w:ascii="Symbol" w:hAnsi="Symbol" w:hint="default"/>
      </w:rPr>
    </w:lvl>
    <w:lvl w:ilvl="7">
      <w:start w:val="1"/>
      <w:numFmt w:val="bullet"/>
      <w:lvlText w:val="o"/>
      <w:lvlJc w:val="left"/>
      <w:pPr>
        <w:ind w:left="6076" w:hanging="360"/>
      </w:pPr>
      <w:rPr>
        <w:rFonts w:ascii="Courier New" w:hAnsi="Courier New" w:cs="Courier New" w:hint="default"/>
      </w:rPr>
    </w:lvl>
    <w:lvl w:ilvl="8">
      <w:start w:val="1"/>
      <w:numFmt w:val="bullet"/>
      <w:lvlText w:val=""/>
      <w:lvlJc w:val="left"/>
      <w:pPr>
        <w:ind w:left="6796" w:hanging="360"/>
      </w:pPr>
      <w:rPr>
        <w:rFonts w:ascii="Wingdings" w:hAnsi="Wingdings" w:hint="default"/>
      </w:rPr>
    </w:lvl>
  </w:abstractNum>
  <w:abstractNum w:abstractNumId="31" w15:restartNumberingAfterBreak="0">
    <w:nsid w:val="5AC6275D"/>
    <w:multiLevelType w:val="multilevel"/>
    <w:tmpl w:val="5AC6275D"/>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2" w15:restartNumberingAfterBreak="0">
    <w:nsid w:val="5CBD0074"/>
    <w:multiLevelType w:val="multilevel"/>
    <w:tmpl w:val="5CBD0074"/>
    <w:lvl w:ilvl="0">
      <w:start w:val="1"/>
      <w:numFmt w:val="decimal"/>
      <w:lvlText w:val="%1."/>
      <w:lvlJc w:val="left"/>
      <w:pPr>
        <w:ind w:left="0" w:firstLine="0"/>
      </w:pPr>
      <w:rPr>
        <w:b w:val="0"/>
        <w:i w:val="0"/>
        <w:color w:val="000000"/>
        <w:sz w:val="22"/>
        <w:szCs w:val="22"/>
        <w:vertAlign w:val="baseline"/>
      </w:rPr>
    </w:lvl>
    <w:lvl w:ilvl="1">
      <w:start w:val="1"/>
      <w:numFmt w:val="decimal"/>
      <w:lvlText w:val="%1.%2"/>
      <w:lvlJc w:val="left"/>
      <w:pPr>
        <w:ind w:left="0" w:firstLine="0"/>
      </w:pPr>
      <w:rPr>
        <w:b w:val="0"/>
        <w:i w:val="0"/>
        <w:color w:val="000000"/>
        <w:sz w:val="22"/>
        <w:szCs w:val="22"/>
        <w:vertAlign w:val="baseline"/>
      </w:rPr>
    </w:lvl>
    <w:lvl w:ilvl="2">
      <w:start w:val="1"/>
      <w:numFmt w:val="decimal"/>
      <w:lvlText w:val="1.1.1"/>
      <w:lvlJc w:val="left"/>
      <w:pPr>
        <w:ind w:left="720" w:firstLine="0"/>
      </w:pPr>
      <w:rPr>
        <w:b w:val="0"/>
        <w:i w:val="0"/>
        <w:color w:val="000000"/>
        <w:vertAlign w:val="baseline"/>
      </w:rPr>
    </w:lvl>
    <w:lvl w:ilvl="3">
      <w:start w:val="1"/>
      <w:numFmt w:val="decimal"/>
      <w:lvlText w:val="%3.%4"/>
      <w:lvlJc w:val="left"/>
      <w:pPr>
        <w:ind w:left="720" w:firstLine="0"/>
      </w:pPr>
      <w:rPr>
        <w:b/>
        <w:i w:val="0"/>
        <w:vertAlign w:val="baseline"/>
      </w:rPr>
    </w:lvl>
    <w:lvl w:ilvl="4">
      <w:start w:val="1"/>
      <w:numFmt w:val="lowerRoman"/>
      <w:lvlText w:val="%5."/>
      <w:lvlJc w:val="left"/>
      <w:pPr>
        <w:ind w:left="1440" w:firstLine="0"/>
      </w:pPr>
      <w:rPr>
        <w:b/>
        <w:i w:val="0"/>
        <w:vertAlign w:val="baseline"/>
      </w:rPr>
    </w:lvl>
    <w:lvl w:ilvl="5">
      <w:start w:val="1"/>
      <w:numFmt w:val="bullet"/>
      <w:lvlText w:val="●"/>
      <w:lvlJc w:val="left"/>
      <w:pPr>
        <w:ind w:left="2160" w:firstLine="0"/>
      </w:pPr>
      <w:rPr>
        <w:rFonts w:ascii="Noto Sans Symbols" w:eastAsia="Noto Sans Symbols" w:hAnsi="Noto Sans Symbols" w:cs="Noto Sans Symbols"/>
        <w:b/>
        <w:i w:val="0"/>
        <w:vertAlign w:val="baseline"/>
      </w:rPr>
    </w:lvl>
    <w:lvl w:ilvl="6">
      <w:start w:val="1"/>
      <w:numFmt w:val="decimal"/>
      <w:lvlText w:val="%7."/>
      <w:lvlJc w:val="left"/>
      <w:pPr>
        <w:ind w:left="2520" w:hanging="360"/>
      </w:pPr>
      <w:rPr>
        <w:b w:val="0"/>
        <w:i w:val="0"/>
        <w:color w:val="000000"/>
        <w:vertAlign w:val="baseline"/>
      </w:rPr>
    </w:lvl>
    <w:lvl w:ilvl="7">
      <w:start w:val="1"/>
      <w:numFmt w:val="lowerLetter"/>
      <w:lvlText w:val="%8."/>
      <w:lvlJc w:val="left"/>
      <w:pPr>
        <w:ind w:left="1170" w:hanging="360"/>
      </w:pPr>
      <w:rPr>
        <w:b w:val="0"/>
        <w:i w:val="0"/>
        <w:sz w:val="22"/>
        <w:szCs w:val="22"/>
        <w:vertAlign w:val="baseline"/>
      </w:rPr>
    </w:lvl>
    <w:lvl w:ilvl="8">
      <w:start w:val="1"/>
      <w:numFmt w:val="lowerRoman"/>
      <w:lvlText w:val="%9."/>
      <w:lvlJc w:val="left"/>
      <w:pPr>
        <w:ind w:left="3240" w:hanging="360"/>
      </w:pPr>
      <w:rPr>
        <w:b/>
        <w:i w:val="0"/>
        <w:vertAlign w:val="baseline"/>
      </w:rPr>
    </w:lvl>
  </w:abstractNum>
  <w:abstractNum w:abstractNumId="33" w15:restartNumberingAfterBreak="0">
    <w:nsid w:val="66274030"/>
    <w:multiLevelType w:val="multilevel"/>
    <w:tmpl w:val="66274030"/>
    <w:lvl w:ilvl="0">
      <w:start w:val="1"/>
      <w:numFmt w:val="lowerLetter"/>
      <w:lvlText w:val="%1."/>
      <w:lvlJc w:val="left"/>
      <w:pPr>
        <w:ind w:left="1211" w:hanging="360"/>
      </w:pPr>
      <w:rPr>
        <w:b w:val="0"/>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67A15FE"/>
    <w:multiLevelType w:val="multilevel"/>
    <w:tmpl w:val="667A15FE"/>
    <w:lvl w:ilvl="0">
      <w:start w:val="1"/>
      <w:numFmt w:val="decimal"/>
      <w:lvlText w:val="%1."/>
      <w:lvlJc w:val="left"/>
      <w:pPr>
        <w:ind w:left="450" w:hanging="360"/>
      </w:pPr>
      <w:rPr>
        <w:rFonts w:ascii="Arial" w:eastAsia="Arial" w:hAnsi="Arial" w:cs="Arial"/>
        <w:b w:val="0"/>
        <w:sz w:val="20"/>
        <w:szCs w:val="20"/>
        <w:vertAlign w:val="baseline"/>
      </w:rPr>
    </w:lvl>
    <w:lvl w:ilvl="1">
      <w:start w:val="1"/>
      <w:numFmt w:val="lowerLetter"/>
      <w:lvlText w:val="%2."/>
      <w:lvlJc w:val="left"/>
      <w:pPr>
        <w:ind w:left="14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79802B6"/>
    <w:multiLevelType w:val="multilevel"/>
    <w:tmpl w:val="98547ED0"/>
    <w:lvl w:ilvl="0">
      <w:start w:val="4"/>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6AD379D7"/>
    <w:multiLevelType w:val="multilevel"/>
    <w:tmpl w:val="6AD379D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6E977801"/>
    <w:multiLevelType w:val="multilevel"/>
    <w:tmpl w:val="6E977801"/>
    <w:lvl w:ilvl="0">
      <w:start w:val="1"/>
      <w:numFmt w:val="decimal"/>
      <w:lvlText w:val="%1."/>
      <w:lvlJc w:val="left"/>
      <w:pPr>
        <w:ind w:left="450" w:hanging="360"/>
      </w:pPr>
      <w:rPr>
        <w:rFonts w:ascii="Arial" w:eastAsia="Arial" w:hAnsi="Arial" w:cs="Arial"/>
        <w:b w:val="0"/>
        <w:sz w:val="20"/>
        <w:szCs w:val="20"/>
        <w:vertAlign w:val="baseline"/>
      </w:rPr>
    </w:lvl>
    <w:lvl w:ilvl="1">
      <w:start w:val="1"/>
      <w:numFmt w:val="lowerLetter"/>
      <w:lvlText w:val="%2)"/>
      <w:lvlJc w:val="left"/>
      <w:pPr>
        <w:ind w:left="14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1F37ED"/>
    <w:multiLevelType w:val="multilevel"/>
    <w:tmpl w:val="9CC00A38"/>
    <w:lvl w:ilvl="0">
      <w:start w:val="1"/>
      <w:numFmt w:val="decimal"/>
      <w:lvlText w:val="%1"/>
      <w:lvlJc w:val="left"/>
      <w:pPr>
        <w:ind w:left="360" w:hanging="360"/>
      </w:pPr>
      <w:rPr>
        <w:rFonts w:eastAsia="Arial Narrow" w:hint="default"/>
        <w:b/>
      </w:rPr>
    </w:lvl>
    <w:lvl w:ilvl="1">
      <w:start w:val="1"/>
      <w:numFmt w:val="decimal"/>
      <w:lvlText w:val="%1.%2"/>
      <w:lvlJc w:val="left"/>
      <w:pPr>
        <w:ind w:left="360" w:hanging="360"/>
      </w:pPr>
      <w:rPr>
        <w:rFonts w:eastAsia="Arial Narrow" w:hint="default"/>
        <w:b w:val="0"/>
        <w:bCs/>
        <w:i w:val="0"/>
        <w:iCs/>
      </w:rPr>
    </w:lvl>
    <w:lvl w:ilvl="2">
      <w:start w:val="1"/>
      <w:numFmt w:val="decimal"/>
      <w:lvlText w:val="%1.%2.%3"/>
      <w:lvlJc w:val="left"/>
      <w:pPr>
        <w:ind w:left="720" w:hanging="720"/>
      </w:pPr>
      <w:rPr>
        <w:rFonts w:eastAsia="Arial Narrow" w:hint="default"/>
        <w:b w:val="0"/>
        <w:bCs/>
      </w:rPr>
    </w:lvl>
    <w:lvl w:ilvl="3">
      <w:start w:val="1"/>
      <w:numFmt w:val="decimal"/>
      <w:lvlText w:val="%1.%2.%3.%4"/>
      <w:lvlJc w:val="left"/>
      <w:pPr>
        <w:ind w:left="720" w:hanging="720"/>
      </w:pPr>
      <w:rPr>
        <w:rFonts w:eastAsia="Arial Narrow" w:hint="default"/>
      </w:rPr>
    </w:lvl>
    <w:lvl w:ilvl="4">
      <w:start w:val="1"/>
      <w:numFmt w:val="decimal"/>
      <w:lvlText w:val="%1.%2.%3.%4.%5"/>
      <w:lvlJc w:val="left"/>
      <w:pPr>
        <w:ind w:left="1080" w:hanging="1080"/>
      </w:pPr>
      <w:rPr>
        <w:rFonts w:eastAsia="Arial Narrow" w:hint="default"/>
      </w:rPr>
    </w:lvl>
    <w:lvl w:ilvl="5">
      <w:start w:val="1"/>
      <w:numFmt w:val="decimal"/>
      <w:lvlText w:val="%1.%2.%3.%4.%5.%6"/>
      <w:lvlJc w:val="left"/>
      <w:pPr>
        <w:ind w:left="1080" w:hanging="1080"/>
      </w:pPr>
      <w:rPr>
        <w:rFonts w:eastAsia="Arial Narrow" w:hint="default"/>
      </w:rPr>
    </w:lvl>
    <w:lvl w:ilvl="6">
      <w:start w:val="1"/>
      <w:numFmt w:val="decimal"/>
      <w:lvlText w:val="%1.%2.%3.%4.%5.%6.%7"/>
      <w:lvlJc w:val="left"/>
      <w:pPr>
        <w:ind w:left="1440" w:hanging="1440"/>
      </w:pPr>
      <w:rPr>
        <w:rFonts w:eastAsia="Arial Narrow" w:hint="default"/>
      </w:rPr>
    </w:lvl>
    <w:lvl w:ilvl="7">
      <w:start w:val="1"/>
      <w:numFmt w:val="decimal"/>
      <w:lvlText w:val="%1.%2.%3.%4.%5.%6.%7.%8"/>
      <w:lvlJc w:val="left"/>
      <w:pPr>
        <w:ind w:left="1440" w:hanging="1440"/>
      </w:pPr>
      <w:rPr>
        <w:rFonts w:eastAsia="Arial Narrow" w:hint="default"/>
      </w:rPr>
    </w:lvl>
    <w:lvl w:ilvl="8">
      <w:start w:val="1"/>
      <w:numFmt w:val="decimal"/>
      <w:lvlText w:val="%1.%2.%3.%4.%5.%6.%7.%8.%9"/>
      <w:lvlJc w:val="left"/>
      <w:pPr>
        <w:ind w:left="1800" w:hanging="1800"/>
      </w:pPr>
      <w:rPr>
        <w:rFonts w:eastAsia="Arial Narrow" w:hint="default"/>
      </w:rPr>
    </w:lvl>
  </w:abstractNum>
  <w:abstractNum w:abstractNumId="39" w15:restartNumberingAfterBreak="0">
    <w:nsid w:val="758B27CB"/>
    <w:multiLevelType w:val="multilevel"/>
    <w:tmpl w:val="1012D198"/>
    <w:lvl w:ilvl="0">
      <w:start w:val="10"/>
      <w:numFmt w:val="decimal"/>
      <w:lvlText w:val="%1."/>
      <w:lvlJc w:val="left"/>
      <w:pPr>
        <w:ind w:left="720" w:hanging="360"/>
      </w:pPr>
      <w:rPr>
        <w:rFonts w:hint="default"/>
        <w:b w:val="0"/>
        <w:bCs w:val="0"/>
      </w:rPr>
    </w:lvl>
    <w:lvl w:ilvl="1">
      <w:start w:val="1"/>
      <w:numFmt w:val="decimal"/>
      <w:isLgl/>
      <w:lvlText w:val="%1.%2"/>
      <w:lvlJc w:val="left"/>
      <w:pPr>
        <w:ind w:left="720" w:hanging="360"/>
      </w:pPr>
      <w:rPr>
        <w:rFonts w:ascii="Arial" w:hAnsi="Arial" w:cs="Arial" w:hint="default"/>
        <w:b w:val="0"/>
        <w:i w:val="0"/>
        <w:iCs/>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lowerLetter"/>
      <w:lvlText w:val="%8."/>
      <w:lvlJc w:val="left"/>
      <w:pPr>
        <w:ind w:left="1890" w:hanging="1440"/>
      </w:pPr>
      <w:rPr>
        <w:rFonts w:ascii="Arial" w:eastAsia="Arial Narrow" w:hAnsi="Arial" w:cs="Arial"/>
      </w:rPr>
    </w:lvl>
    <w:lvl w:ilvl="8">
      <w:start w:val="1"/>
      <w:numFmt w:val="decimal"/>
      <w:isLgl/>
      <w:lvlText w:val="%1.%2.%3.%4.%5.%6.%7.%8.%9"/>
      <w:lvlJc w:val="left"/>
      <w:pPr>
        <w:ind w:left="1800" w:hanging="1440"/>
      </w:pPr>
      <w:rPr>
        <w:rFonts w:hint="default"/>
      </w:rPr>
    </w:lvl>
  </w:abstractNum>
  <w:abstractNum w:abstractNumId="40" w15:restartNumberingAfterBreak="0">
    <w:nsid w:val="76EF0ED7"/>
    <w:multiLevelType w:val="multilevel"/>
    <w:tmpl w:val="76EF0E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23460"/>
    <w:multiLevelType w:val="multilevel"/>
    <w:tmpl w:val="05EEB54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2" w15:restartNumberingAfterBreak="0">
    <w:nsid w:val="78E7FF0F"/>
    <w:multiLevelType w:val="singleLevel"/>
    <w:tmpl w:val="78E7FF0F"/>
    <w:lvl w:ilvl="0">
      <w:start w:val="1"/>
      <w:numFmt w:val="lowerLetter"/>
      <w:lvlText w:val="%1."/>
      <w:lvlJc w:val="left"/>
      <w:pPr>
        <w:tabs>
          <w:tab w:val="left" w:pos="425"/>
        </w:tabs>
        <w:ind w:left="425" w:hanging="425"/>
      </w:pPr>
      <w:rPr>
        <w:rFonts w:hint="default"/>
      </w:rPr>
    </w:lvl>
  </w:abstractNum>
  <w:num w:numId="1" w16cid:durableId="1853716807">
    <w:abstractNumId w:val="10"/>
  </w:num>
  <w:num w:numId="2" w16cid:durableId="1499422872">
    <w:abstractNumId w:val="3"/>
  </w:num>
  <w:num w:numId="3" w16cid:durableId="1484390477">
    <w:abstractNumId w:val="22"/>
  </w:num>
  <w:num w:numId="4" w16cid:durableId="777407249">
    <w:abstractNumId w:val="38"/>
  </w:num>
  <w:num w:numId="5" w16cid:durableId="254629033">
    <w:abstractNumId w:val="7"/>
  </w:num>
  <w:num w:numId="6" w16cid:durableId="260577884">
    <w:abstractNumId w:val="36"/>
  </w:num>
  <w:num w:numId="7" w16cid:durableId="680468900">
    <w:abstractNumId w:val="20"/>
  </w:num>
  <w:num w:numId="8" w16cid:durableId="1733776560">
    <w:abstractNumId w:val="12"/>
  </w:num>
  <w:num w:numId="9" w16cid:durableId="535897107">
    <w:abstractNumId w:val="6"/>
  </w:num>
  <w:num w:numId="10" w16cid:durableId="522406487">
    <w:abstractNumId w:val="40"/>
  </w:num>
  <w:num w:numId="11" w16cid:durableId="725102982">
    <w:abstractNumId w:val="30"/>
  </w:num>
  <w:num w:numId="12" w16cid:durableId="687831284">
    <w:abstractNumId w:val="17"/>
  </w:num>
  <w:num w:numId="13" w16cid:durableId="663708801">
    <w:abstractNumId w:val="1"/>
  </w:num>
  <w:num w:numId="14" w16cid:durableId="1087111478">
    <w:abstractNumId w:val="19"/>
  </w:num>
  <w:num w:numId="15" w16cid:durableId="89587867">
    <w:abstractNumId w:val="21"/>
  </w:num>
  <w:num w:numId="16" w16cid:durableId="363604759">
    <w:abstractNumId w:val="2"/>
  </w:num>
  <w:num w:numId="17" w16cid:durableId="535045940">
    <w:abstractNumId w:val="42"/>
  </w:num>
  <w:num w:numId="18" w16cid:durableId="1589995699">
    <w:abstractNumId w:val="0"/>
  </w:num>
  <w:num w:numId="19" w16cid:durableId="300841953">
    <w:abstractNumId w:val="31"/>
  </w:num>
  <w:num w:numId="20" w16cid:durableId="176700842">
    <w:abstractNumId w:val="23"/>
  </w:num>
  <w:num w:numId="21" w16cid:durableId="1632131838">
    <w:abstractNumId w:val="25"/>
  </w:num>
  <w:num w:numId="22" w16cid:durableId="1992754877">
    <w:abstractNumId w:val="8"/>
  </w:num>
  <w:num w:numId="23" w16cid:durableId="1831679604">
    <w:abstractNumId w:val="27"/>
  </w:num>
  <w:num w:numId="24" w16cid:durableId="1693721426">
    <w:abstractNumId w:val="9"/>
  </w:num>
  <w:num w:numId="25" w16cid:durableId="620041990">
    <w:abstractNumId w:val="14"/>
  </w:num>
  <w:num w:numId="26" w16cid:durableId="1462305740">
    <w:abstractNumId w:val="33"/>
  </w:num>
  <w:num w:numId="27" w16cid:durableId="478227910">
    <w:abstractNumId w:val="39"/>
  </w:num>
  <w:num w:numId="28" w16cid:durableId="1671369463">
    <w:abstractNumId w:val="11"/>
  </w:num>
  <w:num w:numId="29" w16cid:durableId="435754628">
    <w:abstractNumId w:val="5"/>
  </w:num>
  <w:num w:numId="30" w16cid:durableId="1812554677">
    <w:abstractNumId w:val="15"/>
  </w:num>
  <w:num w:numId="31" w16cid:durableId="1821577366">
    <w:abstractNumId w:val="32"/>
  </w:num>
  <w:num w:numId="32" w16cid:durableId="884220615">
    <w:abstractNumId w:val="34"/>
  </w:num>
  <w:num w:numId="33" w16cid:durableId="593560509">
    <w:abstractNumId w:val="37"/>
  </w:num>
  <w:num w:numId="34" w16cid:durableId="965550721">
    <w:abstractNumId w:val="41"/>
  </w:num>
  <w:num w:numId="35" w16cid:durableId="264459745">
    <w:abstractNumId w:val="35"/>
  </w:num>
  <w:num w:numId="36" w16cid:durableId="1220093713">
    <w:abstractNumId w:val="24"/>
  </w:num>
  <w:num w:numId="37" w16cid:durableId="10760194">
    <w:abstractNumId w:val="13"/>
  </w:num>
  <w:num w:numId="38" w16cid:durableId="1131240738">
    <w:abstractNumId w:val="4"/>
  </w:num>
  <w:num w:numId="39" w16cid:durableId="1628780487">
    <w:abstractNumId w:val="29"/>
  </w:num>
  <w:num w:numId="40" w16cid:durableId="1126852062">
    <w:abstractNumId w:val="18"/>
  </w:num>
  <w:num w:numId="41" w16cid:durableId="1271476752">
    <w:abstractNumId w:val="28"/>
  </w:num>
  <w:num w:numId="42" w16cid:durableId="441650445">
    <w:abstractNumId w:val="16"/>
  </w:num>
  <w:num w:numId="43" w16cid:durableId="20882632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IrEwHWSgKow8eYhQkii26CkaQF/F/abzA5s/rexWrZeKY4MY0M+cfpEEWqjCe8xB0XwsOUR9wRiXGpn/7Z70g==" w:salt="3tI3JuQ1XHJpoSX03MGk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A0"/>
    <w:rsid w:val="00000A6D"/>
    <w:rsid w:val="0000127F"/>
    <w:rsid w:val="000012DE"/>
    <w:rsid w:val="000014F5"/>
    <w:rsid w:val="000018D3"/>
    <w:rsid w:val="000018E3"/>
    <w:rsid w:val="00001C2A"/>
    <w:rsid w:val="00003057"/>
    <w:rsid w:val="000031B6"/>
    <w:rsid w:val="00003494"/>
    <w:rsid w:val="00003AB5"/>
    <w:rsid w:val="0000537F"/>
    <w:rsid w:val="00005835"/>
    <w:rsid w:val="00005907"/>
    <w:rsid w:val="00005A47"/>
    <w:rsid w:val="000060C7"/>
    <w:rsid w:val="00006759"/>
    <w:rsid w:val="00006CC2"/>
    <w:rsid w:val="000109A4"/>
    <w:rsid w:val="00010A53"/>
    <w:rsid w:val="00010B28"/>
    <w:rsid w:val="00011112"/>
    <w:rsid w:val="00011C42"/>
    <w:rsid w:val="0001612A"/>
    <w:rsid w:val="000162C5"/>
    <w:rsid w:val="00016537"/>
    <w:rsid w:val="00016642"/>
    <w:rsid w:val="00020544"/>
    <w:rsid w:val="00021148"/>
    <w:rsid w:val="000224E0"/>
    <w:rsid w:val="000239EC"/>
    <w:rsid w:val="00023D56"/>
    <w:rsid w:val="00023F2D"/>
    <w:rsid w:val="00025431"/>
    <w:rsid w:val="000263E2"/>
    <w:rsid w:val="00026A13"/>
    <w:rsid w:val="00026D63"/>
    <w:rsid w:val="000277B3"/>
    <w:rsid w:val="000302CF"/>
    <w:rsid w:val="00030C4C"/>
    <w:rsid w:val="00030E2D"/>
    <w:rsid w:val="0003193A"/>
    <w:rsid w:val="00032A8C"/>
    <w:rsid w:val="00032C58"/>
    <w:rsid w:val="0003310F"/>
    <w:rsid w:val="0003317A"/>
    <w:rsid w:val="00033D7E"/>
    <w:rsid w:val="00034207"/>
    <w:rsid w:val="000342CE"/>
    <w:rsid w:val="00034450"/>
    <w:rsid w:val="00034772"/>
    <w:rsid w:val="00034D32"/>
    <w:rsid w:val="00034F8B"/>
    <w:rsid w:val="000350A9"/>
    <w:rsid w:val="00035C46"/>
    <w:rsid w:val="00036E80"/>
    <w:rsid w:val="00037989"/>
    <w:rsid w:val="00037E49"/>
    <w:rsid w:val="000400BF"/>
    <w:rsid w:val="000402A1"/>
    <w:rsid w:val="000403E4"/>
    <w:rsid w:val="000405C5"/>
    <w:rsid w:val="0004062C"/>
    <w:rsid w:val="00040FBF"/>
    <w:rsid w:val="00041171"/>
    <w:rsid w:val="00042CBB"/>
    <w:rsid w:val="00043317"/>
    <w:rsid w:val="000434FC"/>
    <w:rsid w:val="00044700"/>
    <w:rsid w:val="00045116"/>
    <w:rsid w:val="00045328"/>
    <w:rsid w:val="00045F14"/>
    <w:rsid w:val="000461BE"/>
    <w:rsid w:val="0004635D"/>
    <w:rsid w:val="00046450"/>
    <w:rsid w:val="00046800"/>
    <w:rsid w:val="00046825"/>
    <w:rsid w:val="00046B6E"/>
    <w:rsid w:val="00047741"/>
    <w:rsid w:val="00050A9A"/>
    <w:rsid w:val="00051215"/>
    <w:rsid w:val="000515EB"/>
    <w:rsid w:val="00051A87"/>
    <w:rsid w:val="00051D63"/>
    <w:rsid w:val="00053225"/>
    <w:rsid w:val="00053511"/>
    <w:rsid w:val="00053C0D"/>
    <w:rsid w:val="00054510"/>
    <w:rsid w:val="00054643"/>
    <w:rsid w:val="0005479E"/>
    <w:rsid w:val="000549FC"/>
    <w:rsid w:val="00054B2F"/>
    <w:rsid w:val="00054F12"/>
    <w:rsid w:val="0005519A"/>
    <w:rsid w:val="00055CAF"/>
    <w:rsid w:val="0005606B"/>
    <w:rsid w:val="0005625B"/>
    <w:rsid w:val="000563E4"/>
    <w:rsid w:val="00056803"/>
    <w:rsid w:val="0005764A"/>
    <w:rsid w:val="00057782"/>
    <w:rsid w:val="000578B1"/>
    <w:rsid w:val="00057AD3"/>
    <w:rsid w:val="00057D0E"/>
    <w:rsid w:val="00060D4F"/>
    <w:rsid w:val="000614F4"/>
    <w:rsid w:val="0006174A"/>
    <w:rsid w:val="00061A26"/>
    <w:rsid w:val="00061AA1"/>
    <w:rsid w:val="00061E17"/>
    <w:rsid w:val="00061E1B"/>
    <w:rsid w:val="00062CDD"/>
    <w:rsid w:val="0006309A"/>
    <w:rsid w:val="000631A3"/>
    <w:rsid w:val="000632B9"/>
    <w:rsid w:val="00064150"/>
    <w:rsid w:val="000653FC"/>
    <w:rsid w:val="00066A02"/>
    <w:rsid w:val="00066BE0"/>
    <w:rsid w:val="0006724E"/>
    <w:rsid w:val="00070BED"/>
    <w:rsid w:val="00070E7C"/>
    <w:rsid w:val="00070EC2"/>
    <w:rsid w:val="00070FFB"/>
    <w:rsid w:val="000717BF"/>
    <w:rsid w:val="000717CC"/>
    <w:rsid w:val="0007237B"/>
    <w:rsid w:val="000732CB"/>
    <w:rsid w:val="00073604"/>
    <w:rsid w:val="000759EA"/>
    <w:rsid w:val="00075A1C"/>
    <w:rsid w:val="00075CE0"/>
    <w:rsid w:val="00075F0F"/>
    <w:rsid w:val="000761A2"/>
    <w:rsid w:val="0007677E"/>
    <w:rsid w:val="00076B22"/>
    <w:rsid w:val="0007771F"/>
    <w:rsid w:val="000817AD"/>
    <w:rsid w:val="000817EC"/>
    <w:rsid w:val="000818F3"/>
    <w:rsid w:val="0008204A"/>
    <w:rsid w:val="00082CA8"/>
    <w:rsid w:val="000834B5"/>
    <w:rsid w:val="00083776"/>
    <w:rsid w:val="00083B0C"/>
    <w:rsid w:val="00083BA0"/>
    <w:rsid w:val="00083CC2"/>
    <w:rsid w:val="00084672"/>
    <w:rsid w:val="000846A6"/>
    <w:rsid w:val="00084807"/>
    <w:rsid w:val="00084B9F"/>
    <w:rsid w:val="00085144"/>
    <w:rsid w:val="00085751"/>
    <w:rsid w:val="00085BCE"/>
    <w:rsid w:val="00085E0C"/>
    <w:rsid w:val="00086837"/>
    <w:rsid w:val="00086933"/>
    <w:rsid w:val="00087A3B"/>
    <w:rsid w:val="00087BDD"/>
    <w:rsid w:val="000926D9"/>
    <w:rsid w:val="00092CFF"/>
    <w:rsid w:val="00092D1D"/>
    <w:rsid w:val="00093135"/>
    <w:rsid w:val="0009352D"/>
    <w:rsid w:val="00093F2D"/>
    <w:rsid w:val="000945A6"/>
    <w:rsid w:val="00094CCB"/>
    <w:rsid w:val="00094FF0"/>
    <w:rsid w:val="0009582F"/>
    <w:rsid w:val="00097316"/>
    <w:rsid w:val="000973B7"/>
    <w:rsid w:val="00097F21"/>
    <w:rsid w:val="000A0E01"/>
    <w:rsid w:val="000A1A17"/>
    <w:rsid w:val="000A209E"/>
    <w:rsid w:val="000A2E2B"/>
    <w:rsid w:val="000A3C78"/>
    <w:rsid w:val="000A4814"/>
    <w:rsid w:val="000A481A"/>
    <w:rsid w:val="000A4AC3"/>
    <w:rsid w:val="000A4FC3"/>
    <w:rsid w:val="000A61D8"/>
    <w:rsid w:val="000A6621"/>
    <w:rsid w:val="000A6E3F"/>
    <w:rsid w:val="000A73A4"/>
    <w:rsid w:val="000A754E"/>
    <w:rsid w:val="000A7649"/>
    <w:rsid w:val="000A7BE5"/>
    <w:rsid w:val="000B054F"/>
    <w:rsid w:val="000B1227"/>
    <w:rsid w:val="000B18D3"/>
    <w:rsid w:val="000B1B7E"/>
    <w:rsid w:val="000B3251"/>
    <w:rsid w:val="000B36D1"/>
    <w:rsid w:val="000B3C59"/>
    <w:rsid w:val="000B3D54"/>
    <w:rsid w:val="000B50F5"/>
    <w:rsid w:val="000B5351"/>
    <w:rsid w:val="000B6000"/>
    <w:rsid w:val="000B6166"/>
    <w:rsid w:val="000B63C5"/>
    <w:rsid w:val="000B654E"/>
    <w:rsid w:val="000B6600"/>
    <w:rsid w:val="000B6C43"/>
    <w:rsid w:val="000C05E9"/>
    <w:rsid w:val="000C068E"/>
    <w:rsid w:val="000C0702"/>
    <w:rsid w:val="000C1683"/>
    <w:rsid w:val="000C1EC1"/>
    <w:rsid w:val="000C1F71"/>
    <w:rsid w:val="000C238D"/>
    <w:rsid w:val="000C35CC"/>
    <w:rsid w:val="000C3E72"/>
    <w:rsid w:val="000C4A7E"/>
    <w:rsid w:val="000C5389"/>
    <w:rsid w:val="000C56EB"/>
    <w:rsid w:val="000C5727"/>
    <w:rsid w:val="000C6368"/>
    <w:rsid w:val="000C65F4"/>
    <w:rsid w:val="000C6A94"/>
    <w:rsid w:val="000C6C0E"/>
    <w:rsid w:val="000C6C26"/>
    <w:rsid w:val="000C7D19"/>
    <w:rsid w:val="000D06DC"/>
    <w:rsid w:val="000D11A5"/>
    <w:rsid w:val="000D1256"/>
    <w:rsid w:val="000D1E54"/>
    <w:rsid w:val="000D2ABE"/>
    <w:rsid w:val="000D3865"/>
    <w:rsid w:val="000D4595"/>
    <w:rsid w:val="000D4634"/>
    <w:rsid w:val="000D5B28"/>
    <w:rsid w:val="000D5C58"/>
    <w:rsid w:val="000D66D9"/>
    <w:rsid w:val="000D6701"/>
    <w:rsid w:val="000D6F8A"/>
    <w:rsid w:val="000D7ACF"/>
    <w:rsid w:val="000D7CB9"/>
    <w:rsid w:val="000E1D9A"/>
    <w:rsid w:val="000E2821"/>
    <w:rsid w:val="000E31BA"/>
    <w:rsid w:val="000E494B"/>
    <w:rsid w:val="000E51A0"/>
    <w:rsid w:val="000E55E0"/>
    <w:rsid w:val="000E580A"/>
    <w:rsid w:val="000E595B"/>
    <w:rsid w:val="000E6912"/>
    <w:rsid w:val="000F0C9F"/>
    <w:rsid w:val="000F0F36"/>
    <w:rsid w:val="000F11FD"/>
    <w:rsid w:val="000F1EF2"/>
    <w:rsid w:val="000F276A"/>
    <w:rsid w:val="000F31B9"/>
    <w:rsid w:val="000F38EB"/>
    <w:rsid w:val="000F3A08"/>
    <w:rsid w:val="000F3B88"/>
    <w:rsid w:val="000F4CE7"/>
    <w:rsid w:val="000F5007"/>
    <w:rsid w:val="000F6EC8"/>
    <w:rsid w:val="000F766D"/>
    <w:rsid w:val="000F76B6"/>
    <w:rsid w:val="000F77BE"/>
    <w:rsid w:val="001007A0"/>
    <w:rsid w:val="00101BDC"/>
    <w:rsid w:val="001021AB"/>
    <w:rsid w:val="001029A5"/>
    <w:rsid w:val="00104872"/>
    <w:rsid w:val="00104E50"/>
    <w:rsid w:val="001055F8"/>
    <w:rsid w:val="0010683A"/>
    <w:rsid w:val="0010766A"/>
    <w:rsid w:val="00110DDD"/>
    <w:rsid w:val="00111540"/>
    <w:rsid w:val="001117D8"/>
    <w:rsid w:val="0011317B"/>
    <w:rsid w:val="0011339D"/>
    <w:rsid w:val="00113AB2"/>
    <w:rsid w:val="00113C78"/>
    <w:rsid w:val="0011533A"/>
    <w:rsid w:val="0011656E"/>
    <w:rsid w:val="00117DF1"/>
    <w:rsid w:val="00120101"/>
    <w:rsid w:val="00120637"/>
    <w:rsid w:val="00120DF2"/>
    <w:rsid w:val="00121F90"/>
    <w:rsid w:val="0012233A"/>
    <w:rsid w:val="00123E23"/>
    <w:rsid w:val="001241D5"/>
    <w:rsid w:val="00124F94"/>
    <w:rsid w:val="0012519F"/>
    <w:rsid w:val="001261C5"/>
    <w:rsid w:val="001264F8"/>
    <w:rsid w:val="001268C4"/>
    <w:rsid w:val="00127187"/>
    <w:rsid w:val="001301B1"/>
    <w:rsid w:val="00131637"/>
    <w:rsid w:val="001318C0"/>
    <w:rsid w:val="00131B3D"/>
    <w:rsid w:val="00131C35"/>
    <w:rsid w:val="001321F7"/>
    <w:rsid w:val="001323BA"/>
    <w:rsid w:val="001323DC"/>
    <w:rsid w:val="0013274A"/>
    <w:rsid w:val="001328A7"/>
    <w:rsid w:val="001336B4"/>
    <w:rsid w:val="0013381E"/>
    <w:rsid w:val="001349F2"/>
    <w:rsid w:val="00136469"/>
    <w:rsid w:val="00136BDA"/>
    <w:rsid w:val="00136C89"/>
    <w:rsid w:val="0013735D"/>
    <w:rsid w:val="00140A38"/>
    <w:rsid w:val="001416DC"/>
    <w:rsid w:val="00142B85"/>
    <w:rsid w:val="00142CE2"/>
    <w:rsid w:val="00142EE5"/>
    <w:rsid w:val="00143BB5"/>
    <w:rsid w:val="0014418F"/>
    <w:rsid w:val="00144A97"/>
    <w:rsid w:val="00145901"/>
    <w:rsid w:val="00146C63"/>
    <w:rsid w:val="00146C78"/>
    <w:rsid w:val="00147B17"/>
    <w:rsid w:val="001505D4"/>
    <w:rsid w:val="00150A66"/>
    <w:rsid w:val="00150F10"/>
    <w:rsid w:val="00151872"/>
    <w:rsid w:val="00152515"/>
    <w:rsid w:val="00152981"/>
    <w:rsid w:val="00152AA8"/>
    <w:rsid w:val="00153EFD"/>
    <w:rsid w:val="00154090"/>
    <w:rsid w:val="00154D25"/>
    <w:rsid w:val="00155134"/>
    <w:rsid w:val="001559DC"/>
    <w:rsid w:val="00155F6E"/>
    <w:rsid w:val="00156CE2"/>
    <w:rsid w:val="00157B95"/>
    <w:rsid w:val="00160CA9"/>
    <w:rsid w:val="00161BBF"/>
    <w:rsid w:val="00162532"/>
    <w:rsid w:val="001631BF"/>
    <w:rsid w:val="001632BD"/>
    <w:rsid w:val="00163794"/>
    <w:rsid w:val="0016409F"/>
    <w:rsid w:val="00164800"/>
    <w:rsid w:val="00165BF8"/>
    <w:rsid w:val="00166746"/>
    <w:rsid w:val="0016694B"/>
    <w:rsid w:val="0016699D"/>
    <w:rsid w:val="00167150"/>
    <w:rsid w:val="001679FA"/>
    <w:rsid w:val="00167E91"/>
    <w:rsid w:val="001704F5"/>
    <w:rsid w:val="001717A5"/>
    <w:rsid w:val="00171C9C"/>
    <w:rsid w:val="00171DA3"/>
    <w:rsid w:val="00172D73"/>
    <w:rsid w:val="00173118"/>
    <w:rsid w:val="001732BE"/>
    <w:rsid w:val="001737EE"/>
    <w:rsid w:val="0017449D"/>
    <w:rsid w:val="00174F1B"/>
    <w:rsid w:val="00175A62"/>
    <w:rsid w:val="00176BB7"/>
    <w:rsid w:val="00176D42"/>
    <w:rsid w:val="001772EF"/>
    <w:rsid w:val="001778D1"/>
    <w:rsid w:val="00180B47"/>
    <w:rsid w:val="00180D31"/>
    <w:rsid w:val="00181B8B"/>
    <w:rsid w:val="00182BC3"/>
    <w:rsid w:val="00184E06"/>
    <w:rsid w:val="00185282"/>
    <w:rsid w:val="001859F7"/>
    <w:rsid w:val="00186024"/>
    <w:rsid w:val="001861B2"/>
    <w:rsid w:val="00186B1A"/>
    <w:rsid w:val="00186EAA"/>
    <w:rsid w:val="001871BA"/>
    <w:rsid w:val="00190B17"/>
    <w:rsid w:val="001912A5"/>
    <w:rsid w:val="00191314"/>
    <w:rsid w:val="0019214A"/>
    <w:rsid w:val="0019226C"/>
    <w:rsid w:val="001924D5"/>
    <w:rsid w:val="00192637"/>
    <w:rsid w:val="001926F4"/>
    <w:rsid w:val="00193ACA"/>
    <w:rsid w:val="001950D9"/>
    <w:rsid w:val="001973C6"/>
    <w:rsid w:val="001A0A33"/>
    <w:rsid w:val="001A0EB4"/>
    <w:rsid w:val="001A10A6"/>
    <w:rsid w:val="001A1277"/>
    <w:rsid w:val="001A1AEC"/>
    <w:rsid w:val="001A2D83"/>
    <w:rsid w:val="001A388C"/>
    <w:rsid w:val="001A3D35"/>
    <w:rsid w:val="001A3E5D"/>
    <w:rsid w:val="001A4662"/>
    <w:rsid w:val="001A5130"/>
    <w:rsid w:val="001A55D9"/>
    <w:rsid w:val="001A5638"/>
    <w:rsid w:val="001A5CCE"/>
    <w:rsid w:val="001A67BC"/>
    <w:rsid w:val="001A687F"/>
    <w:rsid w:val="001A6FE9"/>
    <w:rsid w:val="001A730D"/>
    <w:rsid w:val="001B04E7"/>
    <w:rsid w:val="001B127D"/>
    <w:rsid w:val="001B2A83"/>
    <w:rsid w:val="001B33A6"/>
    <w:rsid w:val="001B353A"/>
    <w:rsid w:val="001B35B2"/>
    <w:rsid w:val="001B35DD"/>
    <w:rsid w:val="001B491F"/>
    <w:rsid w:val="001B53D7"/>
    <w:rsid w:val="001B683E"/>
    <w:rsid w:val="001B697D"/>
    <w:rsid w:val="001B69E9"/>
    <w:rsid w:val="001B725B"/>
    <w:rsid w:val="001B77F9"/>
    <w:rsid w:val="001C03F2"/>
    <w:rsid w:val="001C05E7"/>
    <w:rsid w:val="001C066D"/>
    <w:rsid w:val="001C0680"/>
    <w:rsid w:val="001C07A6"/>
    <w:rsid w:val="001C0DF0"/>
    <w:rsid w:val="001C1A15"/>
    <w:rsid w:val="001C1F6F"/>
    <w:rsid w:val="001C28A2"/>
    <w:rsid w:val="001C2BDB"/>
    <w:rsid w:val="001C4730"/>
    <w:rsid w:val="001C5121"/>
    <w:rsid w:val="001C57DE"/>
    <w:rsid w:val="001C62E8"/>
    <w:rsid w:val="001C6C3E"/>
    <w:rsid w:val="001C72D3"/>
    <w:rsid w:val="001C73AF"/>
    <w:rsid w:val="001D0E0E"/>
    <w:rsid w:val="001D1CF6"/>
    <w:rsid w:val="001D1DC7"/>
    <w:rsid w:val="001D1F14"/>
    <w:rsid w:val="001D2532"/>
    <w:rsid w:val="001D4B6A"/>
    <w:rsid w:val="001D5CC1"/>
    <w:rsid w:val="001D5CD7"/>
    <w:rsid w:val="001D5D0F"/>
    <w:rsid w:val="001D6229"/>
    <w:rsid w:val="001D6FD0"/>
    <w:rsid w:val="001E028E"/>
    <w:rsid w:val="001E0370"/>
    <w:rsid w:val="001E05B6"/>
    <w:rsid w:val="001E089F"/>
    <w:rsid w:val="001E0C8D"/>
    <w:rsid w:val="001E1CBB"/>
    <w:rsid w:val="001E1F6B"/>
    <w:rsid w:val="001E2AB9"/>
    <w:rsid w:val="001E3166"/>
    <w:rsid w:val="001E3951"/>
    <w:rsid w:val="001E3A4B"/>
    <w:rsid w:val="001E3AB3"/>
    <w:rsid w:val="001E6052"/>
    <w:rsid w:val="001E64D2"/>
    <w:rsid w:val="001E6637"/>
    <w:rsid w:val="001E7B90"/>
    <w:rsid w:val="001F01FD"/>
    <w:rsid w:val="001F0B93"/>
    <w:rsid w:val="001F125D"/>
    <w:rsid w:val="001F1EA7"/>
    <w:rsid w:val="001F3373"/>
    <w:rsid w:val="001F3C50"/>
    <w:rsid w:val="001F64B3"/>
    <w:rsid w:val="00201027"/>
    <w:rsid w:val="00202462"/>
    <w:rsid w:val="00202E49"/>
    <w:rsid w:val="0020341D"/>
    <w:rsid w:val="002039D2"/>
    <w:rsid w:val="00203AB1"/>
    <w:rsid w:val="00204168"/>
    <w:rsid w:val="00205DF0"/>
    <w:rsid w:val="002124AE"/>
    <w:rsid w:val="00212915"/>
    <w:rsid w:val="002133C7"/>
    <w:rsid w:val="00213572"/>
    <w:rsid w:val="00214788"/>
    <w:rsid w:val="0021594D"/>
    <w:rsid w:val="0021773F"/>
    <w:rsid w:val="00220342"/>
    <w:rsid w:val="002204B8"/>
    <w:rsid w:val="00220872"/>
    <w:rsid w:val="00220884"/>
    <w:rsid w:val="00220962"/>
    <w:rsid w:val="00220B68"/>
    <w:rsid w:val="0022156C"/>
    <w:rsid w:val="002229EF"/>
    <w:rsid w:val="00222EC2"/>
    <w:rsid w:val="0022334C"/>
    <w:rsid w:val="002239D3"/>
    <w:rsid w:val="002250BB"/>
    <w:rsid w:val="00225A76"/>
    <w:rsid w:val="00225E34"/>
    <w:rsid w:val="002268DA"/>
    <w:rsid w:val="00226C18"/>
    <w:rsid w:val="002271C2"/>
    <w:rsid w:val="0022741F"/>
    <w:rsid w:val="002306FD"/>
    <w:rsid w:val="002307A3"/>
    <w:rsid w:val="002329BB"/>
    <w:rsid w:val="00232B87"/>
    <w:rsid w:val="00232C2D"/>
    <w:rsid w:val="0023413C"/>
    <w:rsid w:val="0023467A"/>
    <w:rsid w:val="002347D1"/>
    <w:rsid w:val="00234828"/>
    <w:rsid w:val="0023532D"/>
    <w:rsid w:val="002360D1"/>
    <w:rsid w:val="00236F19"/>
    <w:rsid w:val="00237426"/>
    <w:rsid w:val="002412EF"/>
    <w:rsid w:val="00242505"/>
    <w:rsid w:val="00242617"/>
    <w:rsid w:val="002427C3"/>
    <w:rsid w:val="002437D3"/>
    <w:rsid w:val="00243A11"/>
    <w:rsid w:val="00243C51"/>
    <w:rsid w:val="00244422"/>
    <w:rsid w:val="00244489"/>
    <w:rsid w:val="00246438"/>
    <w:rsid w:val="00246A51"/>
    <w:rsid w:val="0024772C"/>
    <w:rsid w:val="0025110D"/>
    <w:rsid w:val="00251FF6"/>
    <w:rsid w:val="002524A6"/>
    <w:rsid w:val="0025258F"/>
    <w:rsid w:val="002539C9"/>
    <w:rsid w:val="00253D60"/>
    <w:rsid w:val="002548C4"/>
    <w:rsid w:val="00254A8A"/>
    <w:rsid w:val="00254CB8"/>
    <w:rsid w:val="0025576D"/>
    <w:rsid w:val="002561A4"/>
    <w:rsid w:val="002565A3"/>
    <w:rsid w:val="00256952"/>
    <w:rsid w:val="00256C11"/>
    <w:rsid w:val="00257F1C"/>
    <w:rsid w:val="00260D27"/>
    <w:rsid w:val="002627FD"/>
    <w:rsid w:val="002649E8"/>
    <w:rsid w:val="00264A56"/>
    <w:rsid w:val="00264BB6"/>
    <w:rsid w:val="002653FD"/>
    <w:rsid w:val="00265526"/>
    <w:rsid w:val="00265705"/>
    <w:rsid w:val="00266119"/>
    <w:rsid w:val="00266A67"/>
    <w:rsid w:val="00266F8B"/>
    <w:rsid w:val="0027028E"/>
    <w:rsid w:val="002702EC"/>
    <w:rsid w:val="00270CEF"/>
    <w:rsid w:val="00271A9E"/>
    <w:rsid w:val="00271CF1"/>
    <w:rsid w:val="00271FD7"/>
    <w:rsid w:val="002721A0"/>
    <w:rsid w:val="00273B4C"/>
    <w:rsid w:val="002744EB"/>
    <w:rsid w:val="00274DFA"/>
    <w:rsid w:val="00274F02"/>
    <w:rsid w:val="00274FE7"/>
    <w:rsid w:val="002752B3"/>
    <w:rsid w:val="00275601"/>
    <w:rsid w:val="002757C5"/>
    <w:rsid w:val="0027637A"/>
    <w:rsid w:val="0028035D"/>
    <w:rsid w:val="002804DD"/>
    <w:rsid w:val="002805D4"/>
    <w:rsid w:val="002805D5"/>
    <w:rsid w:val="00281476"/>
    <w:rsid w:val="00281727"/>
    <w:rsid w:val="002819C5"/>
    <w:rsid w:val="00281F6C"/>
    <w:rsid w:val="00282236"/>
    <w:rsid w:val="00283C17"/>
    <w:rsid w:val="002848DA"/>
    <w:rsid w:val="00285146"/>
    <w:rsid w:val="002854CF"/>
    <w:rsid w:val="002861C4"/>
    <w:rsid w:val="0028662C"/>
    <w:rsid w:val="00286AE8"/>
    <w:rsid w:val="00287042"/>
    <w:rsid w:val="00287F80"/>
    <w:rsid w:val="002906D3"/>
    <w:rsid w:val="00290839"/>
    <w:rsid w:val="002914DC"/>
    <w:rsid w:val="00291F44"/>
    <w:rsid w:val="002924D5"/>
    <w:rsid w:val="002925C7"/>
    <w:rsid w:val="00295611"/>
    <w:rsid w:val="00295DD5"/>
    <w:rsid w:val="00296393"/>
    <w:rsid w:val="00296D56"/>
    <w:rsid w:val="002A0607"/>
    <w:rsid w:val="002A06A2"/>
    <w:rsid w:val="002A0E7B"/>
    <w:rsid w:val="002A19C3"/>
    <w:rsid w:val="002A219D"/>
    <w:rsid w:val="002A2353"/>
    <w:rsid w:val="002A2C09"/>
    <w:rsid w:val="002A2DCE"/>
    <w:rsid w:val="002A2DDE"/>
    <w:rsid w:val="002A3011"/>
    <w:rsid w:val="002A35D2"/>
    <w:rsid w:val="002A3B47"/>
    <w:rsid w:val="002A4C51"/>
    <w:rsid w:val="002A520E"/>
    <w:rsid w:val="002A7012"/>
    <w:rsid w:val="002A76DF"/>
    <w:rsid w:val="002B101A"/>
    <w:rsid w:val="002B117C"/>
    <w:rsid w:val="002B11A5"/>
    <w:rsid w:val="002B2058"/>
    <w:rsid w:val="002B3BC8"/>
    <w:rsid w:val="002B3E2C"/>
    <w:rsid w:val="002B4A00"/>
    <w:rsid w:val="002B4D76"/>
    <w:rsid w:val="002B4FBE"/>
    <w:rsid w:val="002B59B7"/>
    <w:rsid w:val="002B65D7"/>
    <w:rsid w:val="002B6939"/>
    <w:rsid w:val="002B70D3"/>
    <w:rsid w:val="002B7880"/>
    <w:rsid w:val="002C004E"/>
    <w:rsid w:val="002C0A7E"/>
    <w:rsid w:val="002C1711"/>
    <w:rsid w:val="002C327F"/>
    <w:rsid w:val="002C32C8"/>
    <w:rsid w:val="002C3329"/>
    <w:rsid w:val="002C4044"/>
    <w:rsid w:val="002C4067"/>
    <w:rsid w:val="002C5CA1"/>
    <w:rsid w:val="002C60F5"/>
    <w:rsid w:val="002C6594"/>
    <w:rsid w:val="002C72CE"/>
    <w:rsid w:val="002C7440"/>
    <w:rsid w:val="002C76D4"/>
    <w:rsid w:val="002C7E25"/>
    <w:rsid w:val="002D0FB2"/>
    <w:rsid w:val="002D1239"/>
    <w:rsid w:val="002D19C9"/>
    <w:rsid w:val="002D20CD"/>
    <w:rsid w:val="002D20D2"/>
    <w:rsid w:val="002D2EDF"/>
    <w:rsid w:val="002D3C41"/>
    <w:rsid w:val="002D440F"/>
    <w:rsid w:val="002D452A"/>
    <w:rsid w:val="002D4640"/>
    <w:rsid w:val="002D4ECF"/>
    <w:rsid w:val="002D50F4"/>
    <w:rsid w:val="002D607D"/>
    <w:rsid w:val="002D611B"/>
    <w:rsid w:val="002D6FA4"/>
    <w:rsid w:val="002D7B62"/>
    <w:rsid w:val="002D7B79"/>
    <w:rsid w:val="002E0034"/>
    <w:rsid w:val="002E0599"/>
    <w:rsid w:val="002E117F"/>
    <w:rsid w:val="002E1541"/>
    <w:rsid w:val="002E17D0"/>
    <w:rsid w:val="002E2464"/>
    <w:rsid w:val="002E2CE0"/>
    <w:rsid w:val="002E2FEA"/>
    <w:rsid w:val="002E335B"/>
    <w:rsid w:val="002E3638"/>
    <w:rsid w:val="002E5851"/>
    <w:rsid w:val="002E75FE"/>
    <w:rsid w:val="002F079F"/>
    <w:rsid w:val="002F1504"/>
    <w:rsid w:val="002F18DC"/>
    <w:rsid w:val="002F2085"/>
    <w:rsid w:val="002F25A8"/>
    <w:rsid w:val="002F3091"/>
    <w:rsid w:val="002F37DA"/>
    <w:rsid w:val="002F3AAB"/>
    <w:rsid w:val="002F3DD0"/>
    <w:rsid w:val="002F48F1"/>
    <w:rsid w:val="002F502D"/>
    <w:rsid w:val="002F56C4"/>
    <w:rsid w:val="002F57E4"/>
    <w:rsid w:val="002F62C3"/>
    <w:rsid w:val="002F7769"/>
    <w:rsid w:val="002F7A32"/>
    <w:rsid w:val="00300C01"/>
    <w:rsid w:val="00300EC2"/>
    <w:rsid w:val="003010F2"/>
    <w:rsid w:val="003013DA"/>
    <w:rsid w:val="00304F4D"/>
    <w:rsid w:val="00305118"/>
    <w:rsid w:val="00305680"/>
    <w:rsid w:val="00305E19"/>
    <w:rsid w:val="00305F5A"/>
    <w:rsid w:val="00306CF2"/>
    <w:rsid w:val="00307165"/>
    <w:rsid w:val="00307365"/>
    <w:rsid w:val="003074F3"/>
    <w:rsid w:val="00307DAE"/>
    <w:rsid w:val="00311493"/>
    <w:rsid w:val="00311FA0"/>
    <w:rsid w:val="00312675"/>
    <w:rsid w:val="00312A13"/>
    <w:rsid w:val="00312FC6"/>
    <w:rsid w:val="003132AD"/>
    <w:rsid w:val="003136B7"/>
    <w:rsid w:val="00313BF9"/>
    <w:rsid w:val="003142B9"/>
    <w:rsid w:val="003146FC"/>
    <w:rsid w:val="00314B69"/>
    <w:rsid w:val="0031698D"/>
    <w:rsid w:val="0031757F"/>
    <w:rsid w:val="00317D4A"/>
    <w:rsid w:val="0032038E"/>
    <w:rsid w:val="00320A5F"/>
    <w:rsid w:val="0032228E"/>
    <w:rsid w:val="003222F0"/>
    <w:rsid w:val="00324147"/>
    <w:rsid w:val="00325122"/>
    <w:rsid w:val="00325C72"/>
    <w:rsid w:val="003265E8"/>
    <w:rsid w:val="00326A3D"/>
    <w:rsid w:val="00327048"/>
    <w:rsid w:val="0032714C"/>
    <w:rsid w:val="003272AC"/>
    <w:rsid w:val="003274C7"/>
    <w:rsid w:val="003301D6"/>
    <w:rsid w:val="0033292A"/>
    <w:rsid w:val="00332B72"/>
    <w:rsid w:val="003330C5"/>
    <w:rsid w:val="003333CD"/>
    <w:rsid w:val="00334714"/>
    <w:rsid w:val="00334E7C"/>
    <w:rsid w:val="00335069"/>
    <w:rsid w:val="00336599"/>
    <w:rsid w:val="00336CC7"/>
    <w:rsid w:val="00337089"/>
    <w:rsid w:val="00340B4B"/>
    <w:rsid w:val="00341254"/>
    <w:rsid w:val="0034161E"/>
    <w:rsid w:val="0034194C"/>
    <w:rsid w:val="00341AAB"/>
    <w:rsid w:val="003440C1"/>
    <w:rsid w:val="003440C7"/>
    <w:rsid w:val="00344156"/>
    <w:rsid w:val="003447B1"/>
    <w:rsid w:val="003447B5"/>
    <w:rsid w:val="0034592B"/>
    <w:rsid w:val="00345962"/>
    <w:rsid w:val="003467A1"/>
    <w:rsid w:val="0034688D"/>
    <w:rsid w:val="00346BCC"/>
    <w:rsid w:val="00347433"/>
    <w:rsid w:val="0034761C"/>
    <w:rsid w:val="0035181B"/>
    <w:rsid w:val="00351F6C"/>
    <w:rsid w:val="00352D4C"/>
    <w:rsid w:val="00352E56"/>
    <w:rsid w:val="00354396"/>
    <w:rsid w:val="003545C6"/>
    <w:rsid w:val="003545E1"/>
    <w:rsid w:val="003552EF"/>
    <w:rsid w:val="00355D73"/>
    <w:rsid w:val="003561A5"/>
    <w:rsid w:val="003566C1"/>
    <w:rsid w:val="00356B28"/>
    <w:rsid w:val="00356D96"/>
    <w:rsid w:val="00360A68"/>
    <w:rsid w:val="00360C6A"/>
    <w:rsid w:val="0036105F"/>
    <w:rsid w:val="0036145E"/>
    <w:rsid w:val="003617DD"/>
    <w:rsid w:val="003625B8"/>
    <w:rsid w:val="00362787"/>
    <w:rsid w:val="0036287C"/>
    <w:rsid w:val="00363274"/>
    <w:rsid w:val="00363300"/>
    <w:rsid w:val="0036409B"/>
    <w:rsid w:val="00364283"/>
    <w:rsid w:val="00364C41"/>
    <w:rsid w:val="0036517D"/>
    <w:rsid w:val="0036523C"/>
    <w:rsid w:val="003652A3"/>
    <w:rsid w:val="003656F0"/>
    <w:rsid w:val="00365894"/>
    <w:rsid w:val="00366694"/>
    <w:rsid w:val="0036687A"/>
    <w:rsid w:val="00366D0D"/>
    <w:rsid w:val="00366D63"/>
    <w:rsid w:val="003673FE"/>
    <w:rsid w:val="003703F2"/>
    <w:rsid w:val="00370DA8"/>
    <w:rsid w:val="0037108B"/>
    <w:rsid w:val="00371416"/>
    <w:rsid w:val="00371712"/>
    <w:rsid w:val="00371E9B"/>
    <w:rsid w:val="00373CA9"/>
    <w:rsid w:val="0037454B"/>
    <w:rsid w:val="00374DF8"/>
    <w:rsid w:val="00375D0B"/>
    <w:rsid w:val="00376034"/>
    <w:rsid w:val="00376355"/>
    <w:rsid w:val="0037662C"/>
    <w:rsid w:val="0037735A"/>
    <w:rsid w:val="00377F7F"/>
    <w:rsid w:val="00380897"/>
    <w:rsid w:val="00380E29"/>
    <w:rsid w:val="00381D4D"/>
    <w:rsid w:val="00383C6F"/>
    <w:rsid w:val="00385453"/>
    <w:rsid w:val="00385EC7"/>
    <w:rsid w:val="003860EC"/>
    <w:rsid w:val="003867C1"/>
    <w:rsid w:val="003874F4"/>
    <w:rsid w:val="003909B1"/>
    <w:rsid w:val="00390B37"/>
    <w:rsid w:val="00390DA8"/>
    <w:rsid w:val="00391625"/>
    <w:rsid w:val="003919DE"/>
    <w:rsid w:val="00392288"/>
    <w:rsid w:val="00392C18"/>
    <w:rsid w:val="00393578"/>
    <w:rsid w:val="003941C7"/>
    <w:rsid w:val="0039436E"/>
    <w:rsid w:val="0039496D"/>
    <w:rsid w:val="00394A21"/>
    <w:rsid w:val="00395312"/>
    <w:rsid w:val="00395B0B"/>
    <w:rsid w:val="00395DEB"/>
    <w:rsid w:val="0039600A"/>
    <w:rsid w:val="00396758"/>
    <w:rsid w:val="00396879"/>
    <w:rsid w:val="00397E27"/>
    <w:rsid w:val="003A0055"/>
    <w:rsid w:val="003A110D"/>
    <w:rsid w:val="003A1E1F"/>
    <w:rsid w:val="003A268A"/>
    <w:rsid w:val="003A2B9E"/>
    <w:rsid w:val="003A2BF4"/>
    <w:rsid w:val="003A2CE3"/>
    <w:rsid w:val="003A3CF9"/>
    <w:rsid w:val="003A4436"/>
    <w:rsid w:val="003A4463"/>
    <w:rsid w:val="003A4E28"/>
    <w:rsid w:val="003A5B65"/>
    <w:rsid w:val="003A70A1"/>
    <w:rsid w:val="003A719D"/>
    <w:rsid w:val="003B02E9"/>
    <w:rsid w:val="003B05BE"/>
    <w:rsid w:val="003B0B82"/>
    <w:rsid w:val="003B182E"/>
    <w:rsid w:val="003B189A"/>
    <w:rsid w:val="003B1CCD"/>
    <w:rsid w:val="003B2079"/>
    <w:rsid w:val="003B21AA"/>
    <w:rsid w:val="003B33E2"/>
    <w:rsid w:val="003B3A06"/>
    <w:rsid w:val="003B3EC2"/>
    <w:rsid w:val="003B4643"/>
    <w:rsid w:val="003B4C5C"/>
    <w:rsid w:val="003B52AF"/>
    <w:rsid w:val="003B5760"/>
    <w:rsid w:val="003B5977"/>
    <w:rsid w:val="003B6BFC"/>
    <w:rsid w:val="003B7724"/>
    <w:rsid w:val="003C0507"/>
    <w:rsid w:val="003C0BE2"/>
    <w:rsid w:val="003C2347"/>
    <w:rsid w:val="003C287F"/>
    <w:rsid w:val="003C3185"/>
    <w:rsid w:val="003C45FC"/>
    <w:rsid w:val="003C4641"/>
    <w:rsid w:val="003C52C7"/>
    <w:rsid w:val="003C549B"/>
    <w:rsid w:val="003C56E8"/>
    <w:rsid w:val="003C5789"/>
    <w:rsid w:val="003C5C66"/>
    <w:rsid w:val="003C5E60"/>
    <w:rsid w:val="003C6119"/>
    <w:rsid w:val="003C6297"/>
    <w:rsid w:val="003C6D67"/>
    <w:rsid w:val="003C755D"/>
    <w:rsid w:val="003C7EA1"/>
    <w:rsid w:val="003D063E"/>
    <w:rsid w:val="003D0883"/>
    <w:rsid w:val="003D0CC1"/>
    <w:rsid w:val="003D1186"/>
    <w:rsid w:val="003D3354"/>
    <w:rsid w:val="003D37D9"/>
    <w:rsid w:val="003D3DBF"/>
    <w:rsid w:val="003D49A0"/>
    <w:rsid w:val="003D599C"/>
    <w:rsid w:val="003D6516"/>
    <w:rsid w:val="003D6789"/>
    <w:rsid w:val="003D71F7"/>
    <w:rsid w:val="003E0567"/>
    <w:rsid w:val="003E0EBE"/>
    <w:rsid w:val="003E14DE"/>
    <w:rsid w:val="003E1776"/>
    <w:rsid w:val="003E3679"/>
    <w:rsid w:val="003E3BF3"/>
    <w:rsid w:val="003E3C16"/>
    <w:rsid w:val="003E530C"/>
    <w:rsid w:val="003E53A9"/>
    <w:rsid w:val="003E5B52"/>
    <w:rsid w:val="003E5C88"/>
    <w:rsid w:val="003E5ECF"/>
    <w:rsid w:val="003E6E7D"/>
    <w:rsid w:val="003E6F6F"/>
    <w:rsid w:val="003E7059"/>
    <w:rsid w:val="003F00A5"/>
    <w:rsid w:val="003F0276"/>
    <w:rsid w:val="003F03FE"/>
    <w:rsid w:val="003F184F"/>
    <w:rsid w:val="003F197C"/>
    <w:rsid w:val="003F1A14"/>
    <w:rsid w:val="003F218A"/>
    <w:rsid w:val="003F2803"/>
    <w:rsid w:val="003F3444"/>
    <w:rsid w:val="003F353D"/>
    <w:rsid w:val="003F3F61"/>
    <w:rsid w:val="003F412B"/>
    <w:rsid w:val="003F4A13"/>
    <w:rsid w:val="003F590F"/>
    <w:rsid w:val="003F5E22"/>
    <w:rsid w:val="00400102"/>
    <w:rsid w:val="00401666"/>
    <w:rsid w:val="00401ACC"/>
    <w:rsid w:val="00402016"/>
    <w:rsid w:val="00402694"/>
    <w:rsid w:val="004036E3"/>
    <w:rsid w:val="00403E82"/>
    <w:rsid w:val="004074A8"/>
    <w:rsid w:val="004078E7"/>
    <w:rsid w:val="00407B71"/>
    <w:rsid w:val="00407C96"/>
    <w:rsid w:val="004106FD"/>
    <w:rsid w:val="004118C8"/>
    <w:rsid w:val="004119AF"/>
    <w:rsid w:val="004127D2"/>
    <w:rsid w:val="004136A0"/>
    <w:rsid w:val="00413CEF"/>
    <w:rsid w:val="0041403B"/>
    <w:rsid w:val="00414AFC"/>
    <w:rsid w:val="00414DD2"/>
    <w:rsid w:val="004151E6"/>
    <w:rsid w:val="00415870"/>
    <w:rsid w:val="00415C14"/>
    <w:rsid w:val="00416B43"/>
    <w:rsid w:val="004174CB"/>
    <w:rsid w:val="00417668"/>
    <w:rsid w:val="0042017A"/>
    <w:rsid w:val="00420235"/>
    <w:rsid w:val="00420BDC"/>
    <w:rsid w:val="00420CA5"/>
    <w:rsid w:val="00421158"/>
    <w:rsid w:val="004211DE"/>
    <w:rsid w:val="004211F8"/>
    <w:rsid w:val="0042132B"/>
    <w:rsid w:val="00421D6D"/>
    <w:rsid w:val="00421E6F"/>
    <w:rsid w:val="00422163"/>
    <w:rsid w:val="004223A2"/>
    <w:rsid w:val="00422CF6"/>
    <w:rsid w:val="00423506"/>
    <w:rsid w:val="00424B1F"/>
    <w:rsid w:val="00425234"/>
    <w:rsid w:val="00426BCF"/>
    <w:rsid w:val="00426F96"/>
    <w:rsid w:val="00427679"/>
    <w:rsid w:val="00430554"/>
    <w:rsid w:val="0043151A"/>
    <w:rsid w:val="004319E2"/>
    <w:rsid w:val="004319F0"/>
    <w:rsid w:val="00431F8B"/>
    <w:rsid w:val="004349B3"/>
    <w:rsid w:val="00434BBE"/>
    <w:rsid w:val="00435FDB"/>
    <w:rsid w:val="0043716F"/>
    <w:rsid w:val="004405D2"/>
    <w:rsid w:val="00440BE9"/>
    <w:rsid w:val="0044103B"/>
    <w:rsid w:val="0044152C"/>
    <w:rsid w:val="004426A5"/>
    <w:rsid w:val="004426FD"/>
    <w:rsid w:val="00442DB0"/>
    <w:rsid w:val="00444134"/>
    <w:rsid w:val="00444786"/>
    <w:rsid w:val="0044519F"/>
    <w:rsid w:val="0044638E"/>
    <w:rsid w:val="00446705"/>
    <w:rsid w:val="004468B3"/>
    <w:rsid w:val="004477E4"/>
    <w:rsid w:val="00450A0D"/>
    <w:rsid w:val="00450B5E"/>
    <w:rsid w:val="00450FAF"/>
    <w:rsid w:val="004511D5"/>
    <w:rsid w:val="004517FF"/>
    <w:rsid w:val="004521C0"/>
    <w:rsid w:val="004523D2"/>
    <w:rsid w:val="0045256A"/>
    <w:rsid w:val="00452609"/>
    <w:rsid w:val="00453D81"/>
    <w:rsid w:val="004540FC"/>
    <w:rsid w:val="00454B4A"/>
    <w:rsid w:val="00454DF0"/>
    <w:rsid w:val="0045531F"/>
    <w:rsid w:val="00455999"/>
    <w:rsid w:val="0045654A"/>
    <w:rsid w:val="00457269"/>
    <w:rsid w:val="0045752C"/>
    <w:rsid w:val="004576CE"/>
    <w:rsid w:val="004577D5"/>
    <w:rsid w:val="00457A6F"/>
    <w:rsid w:val="00457FBD"/>
    <w:rsid w:val="00460198"/>
    <w:rsid w:val="0046019B"/>
    <w:rsid w:val="00460EF4"/>
    <w:rsid w:val="00460FDB"/>
    <w:rsid w:val="004617C7"/>
    <w:rsid w:val="00461A00"/>
    <w:rsid w:val="004626D1"/>
    <w:rsid w:val="00462EDF"/>
    <w:rsid w:val="00463E90"/>
    <w:rsid w:val="00464081"/>
    <w:rsid w:val="00464CDA"/>
    <w:rsid w:val="00465AD8"/>
    <w:rsid w:val="004676CE"/>
    <w:rsid w:val="00467D14"/>
    <w:rsid w:val="00467E37"/>
    <w:rsid w:val="0047052A"/>
    <w:rsid w:val="00470E67"/>
    <w:rsid w:val="00470FBE"/>
    <w:rsid w:val="004711DC"/>
    <w:rsid w:val="004712A7"/>
    <w:rsid w:val="00471E39"/>
    <w:rsid w:val="00472028"/>
    <w:rsid w:val="004721CB"/>
    <w:rsid w:val="004722C7"/>
    <w:rsid w:val="004727DC"/>
    <w:rsid w:val="004728B6"/>
    <w:rsid w:val="00472914"/>
    <w:rsid w:val="00472AED"/>
    <w:rsid w:val="004730D3"/>
    <w:rsid w:val="0047332F"/>
    <w:rsid w:val="004733FE"/>
    <w:rsid w:val="00473970"/>
    <w:rsid w:val="00475BBB"/>
    <w:rsid w:val="0047635B"/>
    <w:rsid w:val="004765A6"/>
    <w:rsid w:val="00477804"/>
    <w:rsid w:val="00480419"/>
    <w:rsid w:val="0048096A"/>
    <w:rsid w:val="00480D67"/>
    <w:rsid w:val="00481696"/>
    <w:rsid w:val="00481D8F"/>
    <w:rsid w:val="0048247E"/>
    <w:rsid w:val="00482559"/>
    <w:rsid w:val="004836B8"/>
    <w:rsid w:val="00483B4F"/>
    <w:rsid w:val="00483DB6"/>
    <w:rsid w:val="00483EF8"/>
    <w:rsid w:val="0048440F"/>
    <w:rsid w:val="004844B7"/>
    <w:rsid w:val="004847A7"/>
    <w:rsid w:val="00484907"/>
    <w:rsid w:val="00484CE7"/>
    <w:rsid w:val="0048547C"/>
    <w:rsid w:val="004900AF"/>
    <w:rsid w:val="00490142"/>
    <w:rsid w:val="00490290"/>
    <w:rsid w:val="00491D71"/>
    <w:rsid w:val="004920B4"/>
    <w:rsid w:val="0049259E"/>
    <w:rsid w:val="0049333E"/>
    <w:rsid w:val="00493DBC"/>
    <w:rsid w:val="0049532A"/>
    <w:rsid w:val="0049533B"/>
    <w:rsid w:val="00495668"/>
    <w:rsid w:val="00496C4E"/>
    <w:rsid w:val="0049728E"/>
    <w:rsid w:val="00497954"/>
    <w:rsid w:val="004A0292"/>
    <w:rsid w:val="004A03C7"/>
    <w:rsid w:val="004A063B"/>
    <w:rsid w:val="004A0DDC"/>
    <w:rsid w:val="004A20F7"/>
    <w:rsid w:val="004A2704"/>
    <w:rsid w:val="004A2C70"/>
    <w:rsid w:val="004A33E6"/>
    <w:rsid w:val="004A368A"/>
    <w:rsid w:val="004A3BE0"/>
    <w:rsid w:val="004A4AD2"/>
    <w:rsid w:val="004A509B"/>
    <w:rsid w:val="004A5730"/>
    <w:rsid w:val="004A5CDD"/>
    <w:rsid w:val="004A684D"/>
    <w:rsid w:val="004A71D4"/>
    <w:rsid w:val="004B026C"/>
    <w:rsid w:val="004B031C"/>
    <w:rsid w:val="004B156A"/>
    <w:rsid w:val="004B1CEE"/>
    <w:rsid w:val="004B1D18"/>
    <w:rsid w:val="004B3F70"/>
    <w:rsid w:val="004B4C4F"/>
    <w:rsid w:val="004B4C7D"/>
    <w:rsid w:val="004B4E65"/>
    <w:rsid w:val="004B63BB"/>
    <w:rsid w:val="004B6B3F"/>
    <w:rsid w:val="004B765B"/>
    <w:rsid w:val="004C039E"/>
    <w:rsid w:val="004C067A"/>
    <w:rsid w:val="004C094C"/>
    <w:rsid w:val="004C1298"/>
    <w:rsid w:val="004C2140"/>
    <w:rsid w:val="004C235B"/>
    <w:rsid w:val="004C2F80"/>
    <w:rsid w:val="004C3EDB"/>
    <w:rsid w:val="004C3FE7"/>
    <w:rsid w:val="004C4F6D"/>
    <w:rsid w:val="004C4FAF"/>
    <w:rsid w:val="004C6C6E"/>
    <w:rsid w:val="004C76D7"/>
    <w:rsid w:val="004D0777"/>
    <w:rsid w:val="004D100A"/>
    <w:rsid w:val="004D10D0"/>
    <w:rsid w:val="004D1804"/>
    <w:rsid w:val="004D1815"/>
    <w:rsid w:val="004D1BD0"/>
    <w:rsid w:val="004D1C8E"/>
    <w:rsid w:val="004D22AA"/>
    <w:rsid w:val="004D22D1"/>
    <w:rsid w:val="004D339F"/>
    <w:rsid w:val="004D4745"/>
    <w:rsid w:val="004D53CC"/>
    <w:rsid w:val="004D5AA7"/>
    <w:rsid w:val="004D5AFC"/>
    <w:rsid w:val="004D6903"/>
    <w:rsid w:val="004D703F"/>
    <w:rsid w:val="004D7052"/>
    <w:rsid w:val="004D70A6"/>
    <w:rsid w:val="004D70F1"/>
    <w:rsid w:val="004D7D61"/>
    <w:rsid w:val="004E00D7"/>
    <w:rsid w:val="004E0AB4"/>
    <w:rsid w:val="004E221C"/>
    <w:rsid w:val="004E2E87"/>
    <w:rsid w:val="004E367F"/>
    <w:rsid w:val="004E3DED"/>
    <w:rsid w:val="004E4734"/>
    <w:rsid w:val="004E4BF5"/>
    <w:rsid w:val="004E5799"/>
    <w:rsid w:val="004E58D6"/>
    <w:rsid w:val="004E5994"/>
    <w:rsid w:val="004E700B"/>
    <w:rsid w:val="004E7CD8"/>
    <w:rsid w:val="004F0C28"/>
    <w:rsid w:val="004F0F26"/>
    <w:rsid w:val="004F160F"/>
    <w:rsid w:val="004F251A"/>
    <w:rsid w:val="004F29CD"/>
    <w:rsid w:val="004F350D"/>
    <w:rsid w:val="004F352A"/>
    <w:rsid w:val="004F3737"/>
    <w:rsid w:val="004F39CF"/>
    <w:rsid w:val="004F4C71"/>
    <w:rsid w:val="004F73F2"/>
    <w:rsid w:val="004F7F56"/>
    <w:rsid w:val="00500AE2"/>
    <w:rsid w:val="00500D41"/>
    <w:rsid w:val="00501EBE"/>
    <w:rsid w:val="005038FF"/>
    <w:rsid w:val="00505BE5"/>
    <w:rsid w:val="00507E45"/>
    <w:rsid w:val="005101DB"/>
    <w:rsid w:val="00510471"/>
    <w:rsid w:val="00510AD5"/>
    <w:rsid w:val="00510CE9"/>
    <w:rsid w:val="00511841"/>
    <w:rsid w:val="00511AA1"/>
    <w:rsid w:val="00511C33"/>
    <w:rsid w:val="00512DC1"/>
    <w:rsid w:val="00513392"/>
    <w:rsid w:val="00513BAD"/>
    <w:rsid w:val="005144DD"/>
    <w:rsid w:val="005147CE"/>
    <w:rsid w:val="0051566A"/>
    <w:rsid w:val="00515ADE"/>
    <w:rsid w:val="00516025"/>
    <w:rsid w:val="005169F9"/>
    <w:rsid w:val="0051713D"/>
    <w:rsid w:val="00517424"/>
    <w:rsid w:val="00520780"/>
    <w:rsid w:val="00520C2B"/>
    <w:rsid w:val="00521074"/>
    <w:rsid w:val="00521CC8"/>
    <w:rsid w:val="00521F73"/>
    <w:rsid w:val="0052353F"/>
    <w:rsid w:val="00523D9A"/>
    <w:rsid w:val="005242A5"/>
    <w:rsid w:val="00525C60"/>
    <w:rsid w:val="00525FA1"/>
    <w:rsid w:val="005260C3"/>
    <w:rsid w:val="005270F7"/>
    <w:rsid w:val="00527BB1"/>
    <w:rsid w:val="0053068E"/>
    <w:rsid w:val="005316C2"/>
    <w:rsid w:val="005329DE"/>
    <w:rsid w:val="00532D77"/>
    <w:rsid w:val="00533849"/>
    <w:rsid w:val="00533B4F"/>
    <w:rsid w:val="00534781"/>
    <w:rsid w:val="00535001"/>
    <w:rsid w:val="00535434"/>
    <w:rsid w:val="00535542"/>
    <w:rsid w:val="00537A72"/>
    <w:rsid w:val="005400CD"/>
    <w:rsid w:val="005410F5"/>
    <w:rsid w:val="005418E3"/>
    <w:rsid w:val="00542045"/>
    <w:rsid w:val="00542868"/>
    <w:rsid w:val="00543222"/>
    <w:rsid w:val="005433D2"/>
    <w:rsid w:val="00543DD2"/>
    <w:rsid w:val="00543F43"/>
    <w:rsid w:val="005441C4"/>
    <w:rsid w:val="00545464"/>
    <w:rsid w:val="00545A7D"/>
    <w:rsid w:val="005461BA"/>
    <w:rsid w:val="00546AD6"/>
    <w:rsid w:val="00546B18"/>
    <w:rsid w:val="00550C50"/>
    <w:rsid w:val="00551E99"/>
    <w:rsid w:val="0055326B"/>
    <w:rsid w:val="005542E6"/>
    <w:rsid w:val="00556870"/>
    <w:rsid w:val="00557B94"/>
    <w:rsid w:val="00557C25"/>
    <w:rsid w:val="00557EAA"/>
    <w:rsid w:val="005600F1"/>
    <w:rsid w:val="0056027D"/>
    <w:rsid w:val="0056079F"/>
    <w:rsid w:val="005620D4"/>
    <w:rsid w:val="005625B3"/>
    <w:rsid w:val="00562EA4"/>
    <w:rsid w:val="00563D79"/>
    <w:rsid w:val="00564B7B"/>
    <w:rsid w:val="00565501"/>
    <w:rsid w:val="00565B3E"/>
    <w:rsid w:val="00565C07"/>
    <w:rsid w:val="00565E97"/>
    <w:rsid w:val="00566438"/>
    <w:rsid w:val="00566A9B"/>
    <w:rsid w:val="00566D70"/>
    <w:rsid w:val="00566F51"/>
    <w:rsid w:val="00570E74"/>
    <w:rsid w:val="005712B7"/>
    <w:rsid w:val="00571AA0"/>
    <w:rsid w:val="0057254F"/>
    <w:rsid w:val="005745E2"/>
    <w:rsid w:val="00575235"/>
    <w:rsid w:val="005759DE"/>
    <w:rsid w:val="00575E58"/>
    <w:rsid w:val="00575F93"/>
    <w:rsid w:val="005768F7"/>
    <w:rsid w:val="00576D88"/>
    <w:rsid w:val="00576E66"/>
    <w:rsid w:val="005774A4"/>
    <w:rsid w:val="00580094"/>
    <w:rsid w:val="0058148D"/>
    <w:rsid w:val="005816F6"/>
    <w:rsid w:val="00582CC5"/>
    <w:rsid w:val="00583693"/>
    <w:rsid w:val="00583BF6"/>
    <w:rsid w:val="005842FF"/>
    <w:rsid w:val="00584504"/>
    <w:rsid w:val="00584D97"/>
    <w:rsid w:val="0058576E"/>
    <w:rsid w:val="0058588E"/>
    <w:rsid w:val="005858F6"/>
    <w:rsid w:val="00585A73"/>
    <w:rsid w:val="005868F9"/>
    <w:rsid w:val="00587EAA"/>
    <w:rsid w:val="00590527"/>
    <w:rsid w:val="00591C6D"/>
    <w:rsid w:val="00591DBA"/>
    <w:rsid w:val="005929CB"/>
    <w:rsid w:val="00592C18"/>
    <w:rsid w:val="00593008"/>
    <w:rsid w:val="00593173"/>
    <w:rsid w:val="00594943"/>
    <w:rsid w:val="00595639"/>
    <w:rsid w:val="00595B1B"/>
    <w:rsid w:val="00595E6B"/>
    <w:rsid w:val="00595F62"/>
    <w:rsid w:val="00596180"/>
    <w:rsid w:val="00596E9C"/>
    <w:rsid w:val="00597262"/>
    <w:rsid w:val="005A0EFF"/>
    <w:rsid w:val="005A0F04"/>
    <w:rsid w:val="005A1264"/>
    <w:rsid w:val="005A30FD"/>
    <w:rsid w:val="005A4723"/>
    <w:rsid w:val="005A52B2"/>
    <w:rsid w:val="005A581E"/>
    <w:rsid w:val="005A5EA1"/>
    <w:rsid w:val="005A66F0"/>
    <w:rsid w:val="005A6706"/>
    <w:rsid w:val="005A68DB"/>
    <w:rsid w:val="005A7A03"/>
    <w:rsid w:val="005A7D0F"/>
    <w:rsid w:val="005B1F57"/>
    <w:rsid w:val="005B292A"/>
    <w:rsid w:val="005B2E84"/>
    <w:rsid w:val="005B3067"/>
    <w:rsid w:val="005B4B89"/>
    <w:rsid w:val="005B4E62"/>
    <w:rsid w:val="005B5BFF"/>
    <w:rsid w:val="005B5ED6"/>
    <w:rsid w:val="005B64E3"/>
    <w:rsid w:val="005B6612"/>
    <w:rsid w:val="005C03D4"/>
    <w:rsid w:val="005C05DB"/>
    <w:rsid w:val="005C08BB"/>
    <w:rsid w:val="005C135B"/>
    <w:rsid w:val="005C197F"/>
    <w:rsid w:val="005C2735"/>
    <w:rsid w:val="005C2B8D"/>
    <w:rsid w:val="005C2E07"/>
    <w:rsid w:val="005C2ED8"/>
    <w:rsid w:val="005C2F07"/>
    <w:rsid w:val="005C3EC1"/>
    <w:rsid w:val="005C4CF8"/>
    <w:rsid w:val="005C4D1B"/>
    <w:rsid w:val="005C6137"/>
    <w:rsid w:val="005C6A45"/>
    <w:rsid w:val="005C6ED6"/>
    <w:rsid w:val="005C72DD"/>
    <w:rsid w:val="005C75F6"/>
    <w:rsid w:val="005C7ADE"/>
    <w:rsid w:val="005C7B59"/>
    <w:rsid w:val="005C7C28"/>
    <w:rsid w:val="005D02BA"/>
    <w:rsid w:val="005D0550"/>
    <w:rsid w:val="005D067B"/>
    <w:rsid w:val="005D0B5D"/>
    <w:rsid w:val="005D0D67"/>
    <w:rsid w:val="005D0FE2"/>
    <w:rsid w:val="005D151F"/>
    <w:rsid w:val="005D1970"/>
    <w:rsid w:val="005D2235"/>
    <w:rsid w:val="005D2CE7"/>
    <w:rsid w:val="005D2F55"/>
    <w:rsid w:val="005D3FBF"/>
    <w:rsid w:val="005D41F9"/>
    <w:rsid w:val="005D5343"/>
    <w:rsid w:val="005D53CE"/>
    <w:rsid w:val="005D5AE1"/>
    <w:rsid w:val="005D5B8D"/>
    <w:rsid w:val="005D5CC4"/>
    <w:rsid w:val="005D60BA"/>
    <w:rsid w:val="005D6266"/>
    <w:rsid w:val="005E0A52"/>
    <w:rsid w:val="005E0C2F"/>
    <w:rsid w:val="005E1567"/>
    <w:rsid w:val="005E2A55"/>
    <w:rsid w:val="005E2B76"/>
    <w:rsid w:val="005E2FB9"/>
    <w:rsid w:val="005E3E27"/>
    <w:rsid w:val="005E4687"/>
    <w:rsid w:val="005E4D78"/>
    <w:rsid w:val="005E5B82"/>
    <w:rsid w:val="005E62F9"/>
    <w:rsid w:val="005E69ED"/>
    <w:rsid w:val="005E79A6"/>
    <w:rsid w:val="005F08BC"/>
    <w:rsid w:val="005F1B2B"/>
    <w:rsid w:val="005F22F1"/>
    <w:rsid w:val="005F35EA"/>
    <w:rsid w:val="005F3B5E"/>
    <w:rsid w:val="005F423A"/>
    <w:rsid w:val="005F44EB"/>
    <w:rsid w:val="005F44F0"/>
    <w:rsid w:val="005F4A0F"/>
    <w:rsid w:val="005F4C4B"/>
    <w:rsid w:val="005F5BF6"/>
    <w:rsid w:val="005F71FC"/>
    <w:rsid w:val="005F7574"/>
    <w:rsid w:val="00600081"/>
    <w:rsid w:val="00600F5D"/>
    <w:rsid w:val="00602E26"/>
    <w:rsid w:val="00602F27"/>
    <w:rsid w:val="00603435"/>
    <w:rsid w:val="0060359E"/>
    <w:rsid w:val="00603F57"/>
    <w:rsid w:val="006042F8"/>
    <w:rsid w:val="00605C4A"/>
    <w:rsid w:val="00606B32"/>
    <w:rsid w:val="0060767E"/>
    <w:rsid w:val="006078CF"/>
    <w:rsid w:val="00607F20"/>
    <w:rsid w:val="00610E0F"/>
    <w:rsid w:val="006122D2"/>
    <w:rsid w:val="0061250B"/>
    <w:rsid w:val="006136AA"/>
    <w:rsid w:val="00614345"/>
    <w:rsid w:val="00614543"/>
    <w:rsid w:val="0061465B"/>
    <w:rsid w:val="00614D6E"/>
    <w:rsid w:val="00615B96"/>
    <w:rsid w:val="00615BBA"/>
    <w:rsid w:val="00615D1B"/>
    <w:rsid w:val="006168AA"/>
    <w:rsid w:val="00616EA8"/>
    <w:rsid w:val="00617C3E"/>
    <w:rsid w:val="00617CD3"/>
    <w:rsid w:val="00617DC1"/>
    <w:rsid w:val="0062031F"/>
    <w:rsid w:val="006242EC"/>
    <w:rsid w:val="006248AF"/>
    <w:rsid w:val="00624AC7"/>
    <w:rsid w:val="00624B37"/>
    <w:rsid w:val="00624F80"/>
    <w:rsid w:val="00625B7E"/>
    <w:rsid w:val="0062637F"/>
    <w:rsid w:val="0062680C"/>
    <w:rsid w:val="00626FB0"/>
    <w:rsid w:val="00627C98"/>
    <w:rsid w:val="00630631"/>
    <w:rsid w:val="006309F2"/>
    <w:rsid w:val="00630DA9"/>
    <w:rsid w:val="00631F3A"/>
    <w:rsid w:val="006325F7"/>
    <w:rsid w:val="0063275E"/>
    <w:rsid w:val="006328F7"/>
    <w:rsid w:val="00632D60"/>
    <w:rsid w:val="00633E55"/>
    <w:rsid w:val="00634170"/>
    <w:rsid w:val="00634371"/>
    <w:rsid w:val="0063470D"/>
    <w:rsid w:val="00634A2C"/>
    <w:rsid w:val="00635148"/>
    <w:rsid w:val="006356A5"/>
    <w:rsid w:val="006360C5"/>
    <w:rsid w:val="00636A67"/>
    <w:rsid w:val="00636E33"/>
    <w:rsid w:val="00640646"/>
    <w:rsid w:val="00642A32"/>
    <w:rsid w:val="00643B95"/>
    <w:rsid w:val="006457D9"/>
    <w:rsid w:val="00645B2F"/>
    <w:rsid w:val="00645D85"/>
    <w:rsid w:val="006460C0"/>
    <w:rsid w:val="006460E1"/>
    <w:rsid w:val="006461D6"/>
    <w:rsid w:val="00646C06"/>
    <w:rsid w:val="00646FD0"/>
    <w:rsid w:val="0064712E"/>
    <w:rsid w:val="006500A1"/>
    <w:rsid w:val="0065072E"/>
    <w:rsid w:val="00650BDF"/>
    <w:rsid w:val="00650DB0"/>
    <w:rsid w:val="0065173A"/>
    <w:rsid w:val="00651C95"/>
    <w:rsid w:val="00652BBC"/>
    <w:rsid w:val="00653D41"/>
    <w:rsid w:val="00653EED"/>
    <w:rsid w:val="0065409F"/>
    <w:rsid w:val="00654402"/>
    <w:rsid w:val="00654989"/>
    <w:rsid w:val="00654DBF"/>
    <w:rsid w:val="00654FBB"/>
    <w:rsid w:val="006552E0"/>
    <w:rsid w:val="00655662"/>
    <w:rsid w:val="00655C3F"/>
    <w:rsid w:val="00655CB4"/>
    <w:rsid w:val="0065642D"/>
    <w:rsid w:val="00656D2E"/>
    <w:rsid w:val="006608CA"/>
    <w:rsid w:val="006608CF"/>
    <w:rsid w:val="0066141C"/>
    <w:rsid w:val="00661743"/>
    <w:rsid w:val="00661AEB"/>
    <w:rsid w:val="00662049"/>
    <w:rsid w:val="00662B42"/>
    <w:rsid w:val="00662B8B"/>
    <w:rsid w:val="00662D24"/>
    <w:rsid w:val="00663D52"/>
    <w:rsid w:val="00664294"/>
    <w:rsid w:val="00664993"/>
    <w:rsid w:val="00664E31"/>
    <w:rsid w:val="0066510C"/>
    <w:rsid w:val="0066553E"/>
    <w:rsid w:val="00665E04"/>
    <w:rsid w:val="00666151"/>
    <w:rsid w:val="00666D9D"/>
    <w:rsid w:val="00667605"/>
    <w:rsid w:val="006713CB"/>
    <w:rsid w:val="00671F2D"/>
    <w:rsid w:val="006720D3"/>
    <w:rsid w:val="0067218A"/>
    <w:rsid w:val="00672703"/>
    <w:rsid w:val="00672868"/>
    <w:rsid w:val="006737B4"/>
    <w:rsid w:val="00674873"/>
    <w:rsid w:val="006750D5"/>
    <w:rsid w:val="006756B4"/>
    <w:rsid w:val="00675AD9"/>
    <w:rsid w:val="00680778"/>
    <w:rsid w:val="00680951"/>
    <w:rsid w:val="00680F5F"/>
    <w:rsid w:val="006828C3"/>
    <w:rsid w:val="00683080"/>
    <w:rsid w:val="0068425F"/>
    <w:rsid w:val="0068478E"/>
    <w:rsid w:val="00684A0F"/>
    <w:rsid w:val="006857A1"/>
    <w:rsid w:val="0068633E"/>
    <w:rsid w:val="00686A2C"/>
    <w:rsid w:val="006879FC"/>
    <w:rsid w:val="00687CBE"/>
    <w:rsid w:val="00690FD0"/>
    <w:rsid w:val="00691308"/>
    <w:rsid w:val="00692690"/>
    <w:rsid w:val="0069327E"/>
    <w:rsid w:val="0069563D"/>
    <w:rsid w:val="00696335"/>
    <w:rsid w:val="0069708D"/>
    <w:rsid w:val="006979D4"/>
    <w:rsid w:val="006A010B"/>
    <w:rsid w:val="006A0178"/>
    <w:rsid w:val="006A12D7"/>
    <w:rsid w:val="006A1BE3"/>
    <w:rsid w:val="006A1D91"/>
    <w:rsid w:val="006A1EF4"/>
    <w:rsid w:val="006A2DB3"/>
    <w:rsid w:val="006A36BF"/>
    <w:rsid w:val="006A36DE"/>
    <w:rsid w:val="006A3C93"/>
    <w:rsid w:val="006A47BA"/>
    <w:rsid w:val="006A524B"/>
    <w:rsid w:val="006A53FB"/>
    <w:rsid w:val="006A5C53"/>
    <w:rsid w:val="006A5F39"/>
    <w:rsid w:val="006A6592"/>
    <w:rsid w:val="006A6763"/>
    <w:rsid w:val="006A72C5"/>
    <w:rsid w:val="006B0C66"/>
    <w:rsid w:val="006B0EAC"/>
    <w:rsid w:val="006B2D97"/>
    <w:rsid w:val="006B3094"/>
    <w:rsid w:val="006B32BD"/>
    <w:rsid w:val="006B3937"/>
    <w:rsid w:val="006B48DA"/>
    <w:rsid w:val="006B561B"/>
    <w:rsid w:val="006B6C4C"/>
    <w:rsid w:val="006B7A98"/>
    <w:rsid w:val="006C0364"/>
    <w:rsid w:val="006C07A4"/>
    <w:rsid w:val="006C0814"/>
    <w:rsid w:val="006C09E9"/>
    <w:rsid w:val="006C0FB2"/>
    <w:rsid w:val="006C144C"/>
    <w:rsid w:val="006C1A53"/>
    <w:rsid w:val="006C1EC3"/>
    <w:rsid w:val="006C1F1C"/>
    <w:rsid w:val="006C2706"/>
    <w:rsid w:val="006C2D20"/>
    <w:rsid w:val="006C2F11"/>
    <w:rsid w:val="006C5999"/>
    <w:rsid w:val="006C60A1"/>
    <w:rsid w:val="006C6E18"/>
    <w:rsid w:val="006C7324"/>
    <w:rsid w:val="006D1CBD"/>
    <w:rsid w:val="006D20EC"/>
    <w:rsid w:val="006D211A"/>
    <w:rsid w:val="006D21E9"/>
    <w:rsid w:val="006D22D8"/>
    <w:rsid w:val="006D29A0"/>
    <w:rsid w:val="006D4017"/>
    <w:rsid w:val="006D40F0"/>
    <w:rsid w:val="006D5C0C"/>
    <w:rsid w:val="006D5DAD"/>
    <w:rsid w:val="006D65DB"/>
    <w:rsid w:val="006D6F91"/>
    <w:rsid w:val="006D711B"/>
    <w:rsid w:val="006D7CBC"/>
    <w:rsid w:val="006D7CBE"/>
    <w:rsid w:val="006D7E02"/>
    <w:rsid w:val="006E0083"/>
    <w:rsid w:val="006E1688"/>
    <w:rsid w:val="006E1F5C"/>
    <w:rsid w:val="006E3D1D"/>
    <w:rsid w:val="006E4452"/>
    <w:rsid w:val="006E4F3D"/>
    <w:rsid w:val="006E5616"/>
    <w:rsid w:val="006E5CC0"/>
    <w:rsid w:val="006E6D4E"/>
    <w:rsid w:val="006E7C79"/>
    <w:rsid w:val="006E7EE1"/>
    <w:rsid w:val="006F166A"/>
    <w:rsid w:val="006F1C27"/>
    <w:rsid w:val="006F1C62"/>
    <w:rsid w:val="006F241C"/>
    <w:rsid w:val="006F327C"/>
    <w:rsid w:val="006F552B"/>
    <w:rsid w:val="006F5DBF"/>
    <w:rsid w:val="006F6701"/>
    <w:rsid w:val="006F7047"/>
    <w:rsid w:val="006F7082"/>
    <w:rsid w:val="006F7307"/>
    <w:rsid w:val="00700125"/>
    <w:rsid w:val="00701671"/>
    <w:rsid w:val="007016AE"/>
    <w:rsid w:val="007019A4"/>
    <w:rsid w:val="00701C8D"/>
    <w:rsid w:val="0070341F"/>
    <w:rsid w:val="00703BAE"/>
    <w:rsid w:val="007046C1"/>
    <w:rsid w:val="00704BFD"/>
    <w:rsid w:val="0070625D"/>
    <w:rsid w:val="0070676B"/>
    <w:rsid w:val="007068D5"/>
    <w:rsid w:val="0070723F"/>
    <w:rsid w:val="007073A8"/>
    <w:rsid w:val="00710053"/>
    <w:rsid w:val="00712685"/>
    <w:rsid w:val="007126C5"/>
    <w:rsid w:val="00712B91"/>
    <w:rsid w:val="0071304C"/>
    <w:rsid w:val="00713B5B"/>
    <w:rsid w:val="0071433F"/>
    <w:rsid w:val="0071596A"/>
    <w:rsid w:val="00715A00"/>
    <w:rsid w:val="00716584"/>
    <w:rsid w:val="00717881"/>
    <w:rsid w:val="00717A7D"/>
    <w:rsid w:val="00717F57"/>
    <w:rsid w:val="00717F8F"/>
    <w:rsid w:val="00720205"/>
    <w:rsid w:val="00720412"/>
    <w:rsid w:val="007215E7"/>
    <w:rsid w:val="00722B96"/>
    <w:rsid w:val="00723F7E"/>
    <w:rsid w:val="00724976"/>
    <w:rsid w:val="0072537A"/>
    <w:rsid w:val="00725A76"/>
    <w:rsid w:val="00726982"/>
    <w:rsid w:val="0072721C"/>
    <w:rsid w:val="00727601"/>
    <w:rsid w:val="00727946"/>
    <w:rsid w:val="00727B0C"/>
    <w:rsid w:val="00730AD6"/>
    <w:rsid w:val="00731726"/>
    <w:rsid w:val="00731C33"/>
    <w:rsid w:val="00732442"/>
    <w:rsid w:val="00732C47"/>
    <w:rsid w:val="00732C55"/>
    <w:rsid w:val="00734496"/>
    <w:rsid w:val="00735027"/>
    <w:rsid w:val="00735304"/>
    <w:rsid w:val="00735474"/>
    <w:rsid w:val="00735914"/>
    <w:rsid w:val="00736B88"/>
    <w:rsid w:val="0073752C"/>
    <w:rsid w:val="0074010C"/>
    <w:rsid w:val="00740646"/>
    <w:rsid w:val="0074064E"/>
    <w:rsid w:val="0074080B"/>
    <w:rsid w:val="00740EFD"/>
    <w:rsid w:val="00741E77"/>
    <w:rsid w:val="0074200C"/>
    <w:rsid w:val="00742207"/>
    <w:rsid w:val="007431A0"/>
    <w:rsid w:val="00743381"/>
    <w:rsid w:val="00743670"/>
    <w:rsid w:val="00744292"/>
    <w:rsid w:val="007444EB"/>
    <w:rsid w:val="00744AB7"/>
    <w:rsid w:val="007453D9"/>
    <w:rsid w:val="00745A59"/>
    <w:rsid w:val="007466AC"/>
    <w:rsid w:val="00746BC3"/>
    <w:rsid w:val="007472C1"/>
    <w:rsid w:val="00747C3F"/>
    <w:rsid w:val="007518BC"/>
    <w:rsid w:val="00752717"/>
    <w:rsid w:val="00752B44"/>
    <w:rsid w:val="0075319F"/>
    <w:rsid w:val="007531BF"/>
    <w:rsid w:val="007544F9"/>
    <w:rsid w:val="007549F6"/>
    <w:rsid w:val="00755156"/>
    <w:rsid w:val="00755381"/>
    <w:rsid w:val="00755B4C"/>
    <w:rsid w:val="00755E11"/>
    <w:rsid w:val="007569E5"/>
    <w:rsid w:val="00756A31"/>
    <w:rsid w:val="00757EFB"/>
    <w:rsid w:val="00760329"/>
    <w:rsid w:val="00760349"/>
    <w:rsid w:val="00760671"/>
    <w:rsid w:val="0076134D"/>
    <w:rsid w:val="0076197F"/>
    <w:rsid w:val="007628AD"/>
    <w:rsid w:val="00763515"/>
    <w:rsid w:val="007638D5"/>
    <w:rsid w:val="007639D7"/>
    <w:rsid w:val="00763DE5"/>
    <w:rsid w:val="0076481E"/>
    <w:rsid w:val="00766D1C"/>
    <w:rsid w:val="00767DC3"/>
    <w:rsid w:val="00767FF0"/>
    <w:rsid w:val="0077188F"/>
    <w:rsid w:val="00772064"/>
    <w:rsid w:val="0077234F"/>
    <w:rsid w:val="00772A35"/>
    <w:rsid w:val="00773348"/>
    <w:rsid w:val="00773406"/>
    <w:rsid w:val="00775025"/>
    <w:rsid w:val="00777201"/>
    <w:rsid w:val="007772E8"/>
    <w:rsid w:val="0078004F"/>
    <w:rsid w:val="007812BB"/>
    <w:rsid w:val="00781924"/>
    <w:rsid w:val="00781ECA"/>
    <w:rsid w:val="00781EF3"/>
    <w:rsid w:val="0078215D"/>
    <w:rsid w:val="00782193"/>
    <w:rsid w:val="007827FE"/>
    <w:rsid w:val="00784108"/>
    <w:rsid w:val="007846A2"/>
    <w:rsid w:val="007857DE"/>
    <w:rsid w:val="0078609B"/>
    <w:rsid w:val="00787BE6"/>
    <w:rsid w:val="007901C2"/>
    <w:rsid w:val="007910AB"/>
    <w:rsid w:val="00791F11"/>
    <w:rsid w:val="007924A0"/>
    <w:rsid w:val="00792C92"/>
    <w:rsid w:val="00793465"/>
    <w:rsid w:val="007939FE"/>
    <w:rsid w:val="00793FB5"/>
    <w:rsid w:val="0079557A"/>
    <w:rsid w:val="0079662B"/>
    <w:rsid w:val="007A076C"/>
    <w:rsid w:val="007A0ABD"/>
    <w:rsid w:val="007A21E7"/>
    <w:rsid w:val="007A2A9E"/>
    <w:rsid w:val="007A2BE7"/>
    <w:rsid w:val="007A38C2"/>
    <w:rsid w:val="007A3A08"/>
    <w:rsid w:val="007A3BD2"/>
    <w:rsid w:val="007A4EE1"/>
    <w:rsid w:val="007A4F42"/>
    <w:rsid w:val="007A51D7"/>
    <w:rsid w:val="007A58FA"/>
    <w:rsid w:val="007A6630"/>
    <w:rsid w:val="007A7629"/>
    <w:rsid w:val="007B0061"/>
    <w:rsid w:val="007B1FE3"/>
    <w:rsid w:val="007B22B0"/>
    <w:rsid w:val="007B233C"/>
    <w:rsid w:val="007B2369"/>
    <w:rsid w:val="007B2F4D"/>
    <w:rsid w:val="007B333A"/>
    <w:rsid w:val="007B3A11"/>
    <w:rsid w:val="007B40BE"/>
    <w:rsid w:val="007B419F"/>
    <w:rsid w:val="007B5308"/>
    <w:rsid w:val="007B5C78"/>
    <w:rsid w:val="007B676F"/>
    <w:rsid w:val="007B773B"/>
    <w:rsid w:val="007B7C45"/>
    <w:rsid w:val="007B7DFC"/>
    <w:rsid w:val="007B7EEA"/>
    <w:rsid w:val="007C04CD"/>
    <w:rsid w:val="007C08B0"/>
    <w:rsid w:val="007C08B6"/>
    <w:rsid w:val="007C1355"/>
    <w:rsid w:val="007C155E"/>
    <w:rsid w:val="007C1561"/>
    <w:rsid w:val="007C1976"/>
    <w:rsid w:val="007C21E3"/>
    <w:rsid w:val="007C303C"/>
    <w:rsid w:val="007C3237"/>
    <w:rsid w:val="007C398B"/>
    <w:rsid w:val="007C3FBB"/>
    <w:rsid w:val="007C4947"/>
    <w:rsid w:val="007C49C0"/>
    <w:rsid w:val="007C4A8D"/>
    <w:rsid w:val="007C596C"/>
    <w:rsid w:val="007C6673"/>
    <w:rsid w:val="007C709C"/>
    <w:rsid w:val="007C7748"/>
    <w:rsid w:val="007C7804"/>
    <w:rsid w:val="007C7A1F"/>
    <w:rsid w:val="007C7A87"/>
    <w:rsid w:val="007C7C5F"/>
    <w:rsid w:val="007C7F47"/>
    <w:rsid w:val="007D095C"/>
    <w:rsid w:val="007D0D53"/>
    <w:rsid w:val="007D1D33"/>
    <w:rsid w:val="007D27D9"/>
    <w:rsid w:val="007D2EB1"/>
    <w:rsid w:val="007D33D6"/>
    <w:rsid w:val="007D3EFD"/>
    <w:rsid w:val="007D3FAB"/>
    <w:rsid w:val="007D751B"/>
    <w:rsid w:val="007D773C"/>
    <w:rsid w:val="007D7D21"/>
    <w:rsid w:val="007E0537"/>
    <w:rsid w:val="007E1689"/>
    <w:rsid w:val="007E1A24"/>
    <w:rsid w:val="007E1EC7"/>
    <w:rsid w:val="007E2468"/>
    <w:rsid w:val="007E258C"/>
    <w:rsid w:val="007E3F1A"/>
    <w:rsid w:val="007E4A67"/>
    <w:rsid w:val="007E53DA"/>
    <w:rsid w:val="007E6738"/>
    <w:rsid w:val="007E6F1F"/>
    <w:rsid w:val="007E7FD2"/>
    <w:rsid w:val="007F1E34"/>
    <w:rsid w:val="007F25C3"/>
    <w:rsid w:val="007F27FE"/>
    <w:rsid w:val="007F298B"/>
    <w:rsid w:val="007F2BBC"/>
    <w:rsid w:val="007F2CCD"/>
    <w:rsid w:val="007F2DC4"/>
    <w:rsid w:val="007F2EE5"/>
    <w:rsid w:val="007F31E0"/>
    <w:rsid w:val="007F3F25"/>
    <w:rsid w:val="007F400B"/>
    <w:rsid w:val="007F48B8"/>
    <w:rsid w:val="007F4BCD"/>
    <w:rsid w:val="007F4CA8"/>
    <w:rsid w:val="007F518F"/>
    <w:rsid w:val="007F5756"/>
    <w:rsid w:val="007F5821"/>
    <w:rsid w:val="007F5D77"/>
    <w:rsid w:val="007F6378"/>
    <w:rsid w:val="007F651D"/>
    <w:rsid w:val="007F72AD"/>
    <w:rsid w:val="007F7C1B"/>
    <w:rsid w:val="008009BD"/>
    <w:rsid w:val="008012C2"/>
    <w:rsid w:val="00801395"/>
    <w:rsid w:val="0080209D"/>
    <w:rsid w:val="00802965"/>
    <w:rsid w:val="00805330"/>
    <w:rsid w:val="00806A7F"/>
    <w:rsid w:val="00806EA7"/>
    <w:rsid w:val="008107AA"/>
    <w:rsid w:val="00810C07"/>
    <w:rsid w:val="00811895"/>
    <w:rsid w:val="00811E06"/>
    <w:rsid w:val="0081214B"/>
    <w:rsid w:val="00812A10"/>
    <w:rsid w:val="0081346D"/>
    <w:rsid w:val="0081371A"/>
    <w:rsid w:val="00813855"/>
    <w:rsid w:val="008143FF"/>
    <w:rsid w:val="008145D9"/>
    <w:rsid w:val="00814D2C"/>
    <w:rsid w:val="00814D7F"/>
    <w:rsid w:val="00814E6F"/>
    <w:rsid w:val="00816663"/>
    <w:rsid w:val="00816DD6"/>
    <w:rsid w:val="00817C3E"/>
    <w:rsid w:val="00820C84"/>
    <w:rsid w:val="00820E1A"/>
    <w:rsid w:val="008219E5"/>
    <w:rsid w:val="00822BDD"/>
    <w:rsid w:val="00822CE9"/>
    <w:rsid w:val="008231BE"/>
    <w:rsid w:val="00823845"/>
    <w:rsid w:val="00823A9B"/>
    <w:rsid w:val="00823FA4"/>
    <w:rsid w:val="00824B6A"/>
    <w:rsid w:val="00824B97"/>
    <w:rsid w:val="00825B71"/>
    <w:rsid w:val="00825D7C"/>
    <w:rsid w:val="00825E2B"/>
    <w:rsid w:val="00827449"/>
    <w:rsid w:val="00830486"/>
    <w:rsid w:val="008307DB"/>
    <w:rsid w:val="00830BEE"/>
    <w:rsid w:val="00831270"/>
    <w:rsid w:val="008319E6"/>
    <w:rsid w:val="00831E93"/>
    <w:rsid w:val="0083212A"/>
    <w:rsid w:val="00832168"/>
    <w:rsid w:val="008321AF"/>
    <w:rsid w:val="00834354"/>
    <w:rsid w:val="00835020"/>
    <w:rsid w:val="00835D8C"/>
    <w:rsid w:val="00837011"/>
    <w:rsid w:val="008371D5"/>
    <w:rsid w:val="0083754A"/>
    <w:rsid w:val="00837FE7"/>
    <w:rsid w:val="008413DC"/>
    <w:rsid w:val="00841EFE"/>
    <w:rsid w:val="008436EE"/>
    <w:rsid w:val="008437C5"/>
    <w:rsid w:val="00843DDE"/>
    <w:rsid w:val="00844088"/>
    <w:rsid w:val="008448FA"/>
    <w:rsid w:val="00844CDB"/>
    <w:rsid w:val="00845FAC"/>
    <w:rsid w:val="00846889"/>
    <w:rsid w:val="008468E1"/>
    <w:rsid w:val="008476D4"/>
    <w:rsid w:val="00847850"/>
    <w:rsid w:val="00847BFE"/>
    <w:rsid w:val="00847DC0"/>
    <w:rsid w:val="0085063F"/>
    <w:rsid w:val="0085080E"/>
    <w:rsid w:val="0085096A"/>
    <w:rsid w:val="008519B7"/>
    <w:rsid w:val="00851AF2"/>
    <w:rsid w:val="0085237B"/>
    <w:rsid w:val="00852D0A"/>
    <w:rsid w:val="008538AC"/>
    <w:rsid w:val="00853E3F"/>
    <w:rsid w:val="00854A59"/>
    <w:rsid w:val="0085585F"/>
    <w:rsid w:val="00860846"/>
    <w:rsid w:val="0086397B"/>
    <w:rsid w:val="008640D7"/>
    <w:rsid w:val="008640E2"/>
    <w:rsid w:val="0086446D"/>
    <w:rsid w:val="00864D05"/>
    <w:rsid w:val="00864F7E"/>
    <w:rsid w:val="008705A0"/>
    <w:rsid w:val="00871056"/>
    <w:rsid w:val="00871295"/>
    <w:rsid w:val="00871EB0"/>
    <w:rsid w:val="008720F0"/>
    <w:rsid w:val="00873A54"/>
    <w:rsid w:val="00873BCE"/>
    <w:rsid w:val="00873ECA"/>
    <w:rsid w:val="00874D3E"/>
    <w:rsid w:val="008754B2"/>
    <w:rsid w:val="00875E5F"/>
    <w:rsid w:val="00876013"/>
    <w:rsid w:val="008760C5"/>
    <w:rsid w:val="00876A79"/>
    <w:rsid w:val="00876BBB"/>
    <w:rsid w:val="00876F58"/>
    <w:rsid w:val="00877168"/>
    <w:rsid w:val="00877BBB"/>
    <w:rsid w:val="00880A9E"/>
    <w:rsid w:val="00880C99"/>
    <w:rsid w:val="0088125E"/>
    <w:rsid w:val="00881450"/>
    <w:rsid w:val="00881701"/>
    <w:rsid w:val="00881AA3"/>
    <w:rsid w:val="0088213E"/>
    <w:rsid w:val="00882570"/>
    <w:rsid w:val="00884768"/>
    <w:rsid w:val="00884F30"/>
    <w:rsid w:val="00885055"/>
    <w:rsid w:val="008859E7"/>
    <w:rsid w:val="00885DED"/>
    <w:rsid w:val="00886036"/>
    <w:rsid w:val="00886553"/>
    <w:rsid w:val="00886C5F"/>
    <w:rsid w:val="00886E4E"/>
    <w:rsid w:val="00887B9D"/>
    <w:rsid w:val="008904F9"/>
    <w:rsid w:val="00890F5A"/>
    <w:rsid w:val="0089178A"/>
    <w:rsid w:val="00891AE6"/>
    <w:rsid w:val="00891F02"/>
    <w:rsid w:val="008924D2"/>
    <w:rsid w:val="0089258D"/>
    <w:rsid w:val="008927D4"/>
    <w:rsid w:val="00893703"/>
    <w:rsid w:val="00893A6B"/>
    <w:rsid w:val="00894C04"/>
    <w:rsid w:val="008971E2"/>
    <w:rsid w:val="00897A37"/>
    <w:rsid w:val="008A00EC"/>
    <w:rsid w:val="008A0AC3"/>
    <w:rsid w:val="008A1081"/>
    <w:rsid w:val="008A17B2"/>
    <w:rsid w:val="008A1965"/>
    <w:rsid w:val="008A1F6A"/>
    <w:rsid w:val="008A20A8"/>
    <w:rsid w:val="008A348D"/>
    <w:rsid w:val="008A3745"/>
    <w:rsid w:val="008A449C"/>
    <w:rsid w:val="008A475A"/>
    <w:rsid w:val="008A48AD"/>
    <w:rsid w:val="008A6BE4"/>
    <w:rsid w:val="008A7AFD"/>
    <w:rsid w:val="008A7BE5"/>
    <w:rsid w:val="008A7D14"/>
    <w:rsid w:val="008B0008"/>
    <w:rsid w:val="008B2159"/>
    <w:rsid w:val="008B266A"/>
    <w:rsid w:val="008B3432"/>
    <w:rsid w:val="008B3FCC"/>
    <w:rsid w:val="008B44C8"/>
    <w:rsid w:val="008B4FDB"/>
    <w:rsid w:val="008B54C7"/>
    <w:rsid w:val="008B5B80"/>
    <w:rsid w:val="008B5FAF"/>
    <w:rsid w:val="008B63D5"/>
    <w:rsid w:val="008B6449"/>
    <w:rsid w:val="008C06C6"/>
    <w:rsid w:val="008C0A83"/>
    <w:rsid w:val="008C130A"/>
    <w:rsid w:val="008C158E"/>
    <w:rsid w:val="008C1829"/>
    <w:rsid w:val="008C1B1A"/>
    <w:rsid w:val="008C20FF"/>
    <w:rsid w:val="008C2555"/>
    <w:rsid w:val="008C27A7"/>
    <w:rsid w:val="008C2C53"/>
    <w:rsid w:val="008C4FE5"/>
    <w:rsid w:val="008C5C40"/>
    <w:rsid w:val="008C65FC"/>
    <w:rsid w:val="008C6C7F"/>
    <w:rsid w:val="008C6FEC"/>
    <w:rsid w:val="008C718F"/>
    <w:rsid w:val="008C7493"/>
    <w:rsid w:val="008C7E81"/>
    <w:rsid w:val="008D0AC1"/>
    <w:rsid w:val="008D1995"/>
    <w:rsid w:val="008D19FE"/>
    <w:rsid w:val="008D1A4F"/>
    <w:rsid w:val="008D1D2A"/>
    <w:rsid w:val="008D268A"/>
    <w:rsid w:val="008D29A6"/>
    <w:rsid w:val="008D2D49"/>
    <w:rsid w:val="008D3A70"/>
    <w:rsid w:val="008D50F1"/>
    <w:rsid w:val="008D5222"/>
    <w:rsid w:val="008D5469"/>
    <w:rsid w:val="008D5D8D"/>
    <w:rsid w:val="008D5F1F"/>
    <w:rsid w:val="008D61DB"/>
    <w:rsid w:val="008D6BA7"/>
    <w:rsid w:val="008D714B"/>
    <w:rsid w:val="008D75E8"/>
    <w:rsid w:val="008D7EE7"/>
    <w:rsid w:val="008E1320"/>
    <w:rsid w:val="008E1FF1"/>
    <w:rsid w:val="008E289C"/>
    <w:rsid w:val="008E3542"/>
    <w:rsid w:val="008E36DB"/>
    <w:rsid w:val="008E41FF"/>
    <w:rsid w:val="008E4405"/>
    <w:rsid w:val="008E44CB"/>
    <w:rsid w:val="008E46B6"/>
    <w:rsid w:val="008E4B12"/>
    <w:rsid w:val="008E5B6F"/>
    <w:rsid w:val="008E6617"/>
    <w:rsid w:val="008E6829"/>
    <w:rsid w:val="008E6CB0"/>
    <w:rsid w:val="008E74A0"/>
    <w:rsid w:val="008F034F"/>
    <w:rsid w:val="008F0599"/>
    <w:rsid w:val="008F0B6B"/>
    <w:rsid w:val="008F0EB8"/>
    <w:rsid w:val="008F11E0"/>
    <w:rsid w:val="008F1211"/>
    <w:rsid w:val="008F1EFE"/>
    <w:rsid w:val="008F2202"/>
    <w:rsid w:val="008F3200"/>
    <w:rsid w:val="008F4066"/>
    <w:rsid w:val="008F44FA"/>
    <w:rsid w:val="008F4C85"/>
    <w:rsid w:val="008F505C"/>
    <w:rsid w:val="008F56EE"/>
    <w:rsid w:val="008F644E"/>
    <w:rsid w:val="008F729A"/>
    <w:rsid w:val="008F7703"/>
    <w:rsid w:val="0090079F"/>
    <w:rsid w:val="009010BD"/>
    <w:rsid w:val="009013DE"/>
    <w:rsid w:val="0090153F"/>
    <w:rsid w:val="00901596"/>
    <w:rsid w:val="0090234B"/>
    <w:rsid w:val="009024F7"/>
    <w:rsid w:val="00902521"/>
    <w:rsid w:val="009028F1"/>
    <w:rsid w:val="009036BB"/>
    <w:rsid w:val="009056DE"/>
    <w:rsid w:val="0090605F"/>
    <w:rsid w:val="00906512"/>
    <w:rsid w:val="0090678B"/>
    <w:rsid w:val="00907751"/>
    <w:rsid w:val="0090796D"/>
    <w:rsid w:val="00907F66"/>
    <w:rsid w:val="0091066E"/>
    <w:rsid w:val="0091086C"/>
    <w:rsid w:val="009110B7"/>
    <w:rsid w:val="00911309"/>
    <w:rsid w:val="009117B5"/>
    <w:rsid w:val="00911AC6"/>
    <w:rsid w:val="00911E38"/>
    <w:rsid w:val="00912665"/>
    <w:rsid w:val="00912C5B"/>
    <w:rsid w:val="00912D21"/>
    <w:rsid w:val="00913770"/>
    <w:rsid w:val="00913942"/>
    <w:rsid w:val="00914A51"/>
    <w:rsid w:val="009153BC"/>
    <w:rsid w:val="00915C54"/>
    <w:rsid w:val="00915C80"/>
    <w:rsid w:val="00915F76"/>
    <w:rsid w:val="009163A8"/>
    <w:rsid w:val="009169E4"/>
    <w:rsid w:val="00916C82"/>
    <w:rsid w:val="00916E31"/>
    <w:rsid w:val="00917400"/>
    <w:rsid w:val="009177B9"/>
    <w:rsid w:val="00920616"/>
    <w:rsid w:val="00920E14"/>
    <w:rsid w:val="00920FD7"/>
    <w:rsid w:val="0092127B"/>
    <w:rsid w:val="00921F28"/>
    <w:rsid w:val="00922759"/>
    <w:rsid w:val="00923112"/>
    <w:rsid w:val="00925827"/>
    <w:rsid w:val="00927A7B"/>
    <w:rsid w:val="009308E6"/>
    <w:rsid w:val="00930987"/>
    <w:rsid w:val="00930D7D"/>
    <w:rsid w:val="009310D3"/>
    <w:rsid w:val="00931159"/>
    <w:rsid w:val="00931554"/>
    <w:rsid w:val="009318D4"/>
    <w:rsid w:val="00931E68"/>
    <w:rsid w:val="009326CE"/>
    <w:rsid w:val="00932AE5"/>
    <w:rsid w:val="00933023"/>
    <w:rsid w:val="009337A1"/>
    <w:rsid w:val="00933D14"/>
    <w:rsid w:val="00935562"/>
    <w:rsid w:val="009355F8"/>
    <w:rsid w:val="009358DA"/>
    <w:rsid w:val="009359D9"/>
    <w:rsid w:val="00936C66"/>
    <w:rsid w:val="00936E03"/>
    <w:rsid w:val="00937301"/>
    <w:rsid w:val="00940411"/>
    <w:rsid w:val="00940663"/>
    <w:rsid w:val="00940E63"/>
    <w:rsid w:val="00942298"/>
    <w:rsid w:val="00942997"/>
    <w:rsid w:val="00944E37"/>
    <w:rsid w:val="009453A7"/>
    <w:rsid w:val="00945E9C"/>
    <w:rsid w:val="009468E4"/>
    <w:rsid w:val="00946F4E"/>
    <w:rsid w:val="009472A5"/>
    <w:rsid w:val="00950120"/>
    <w:rsid w:val="0095080C"/>
    <w:rsid w:val="0095135B"/>
    <w:rsid w:val="00951AE0"/>
    <w:rsid w:val="00951BCD"/>
    <w:rsid w:val="00951E10"/>
    <w:rsid w:val="00951FD1"/>
    <w:rsid w:val="00952BDE"/>
    <w:rsid w:val="00952CC8"/>
    <w:rsid w:val="00952D7F"/>
    <w:rsid w:val="00952E18"/>
    <w:rsid w:val="00952F25"/>
    <w:rsid w:val="00953F65"/>
    <w:rsid w:val="00955FCE"/>
    <w:rsid w:val="009560B2"/>
    <w:rsid w:val="00956E16"/>
    <w:rsid w:val="009577CF"/>
    <w:rsid w:val="00960569"/>
    <w:rsid w:val="00961CD3"/>
    <w:rsid w:val="00961EDD"/>
    <w:rsid w:val="0096328B"/>
    <w:rsid w:val="0096374E"/>
    <w:rsid w:val="009642B2"/>
    <w:rsid w:val="00965841"/>
    <w:rsid w:val="00965976"/>
    <w:rsid w:val="00965F7C"/>
    <w:rsid w:val="00967186"/>
    <w:rsid w:val="0096773C"/>
    <w:rsid w:val="0097008C"/>
    <w:rsid w:val="00970115"/>
    <w:rsid w:val="0097160A"/>
    <w:rsid w:val="009727C0"/>
    <w:rsid w:val="0097304A"/>
    <w:rsid w:val="009734A7"/>
    <w:rsid w:val="00975382"/>
    <w:rsid w:val="009756B8"/>
    <w:rsid w:val="00975C64"/>
    <w:rsid w:val="00975F5D"/>
    <w:rsid w:val="00976447"/>
    <w:rsid w:val="00976636"/>
    <w:rsid w:val="009770BD"/>
    <w:rsid w:val="009771A4"/>
    <w:rsid w:val="009807E7"/>
    <w:rsid w:val="0098125C"/>
    <w:rsid w:val="00981518"/>
    <w:rsid w:val="00981701"/>
    <w:rsid w:val="00981CB5"/>
    <w:rsid w:val="00982031"/>
    <w:rsid w:val="009823C5"/>
    <w:rsid w:val="009829B3"/>
    <w:rsid w:val="009832D2"/>
    <w:rsid w:val="009833F7"/>
    <w:rsid w:val="00983BF5"/>
    <w:rsid w:val="00984112"/>
    <w:rsid w:val="009845E5"/>
    <w:rsid w:val="0098574E"/>
    <w:rsid w:val="009861A9"/>
    <w:rsid w:val="00986619"/>
    <w:rsid w:val="009870E3"/>
    <w:rsid w:val="009874BA"/>
    <w:rsid w:val="009874C4"/>
    <w:rsid w:val="00987B9E"/>
    <w:rsid w:val="0099012B"/>
    <w:rsid w:val="00991C2F"/>
    <w:rsid w:val="00992010"/>
    <w:rsid w:val="0099260F"/>
    <w:rsid w:val="00992EE8"/>
    <w:rsid w:val="009934DA"/>
    <w:rsid w:val="009938CC"/>
    <w:rsid w:val="00994339"/>
    <w:rsid w:val="0099442C"/>
    <w:rsid w:val="0099472D"/>
    <w:rsid w:val="00994F49"/>
    <w:rsid w:val="009955AA"/>
    <w:rsid w:val="009975DC"/>
    <w:rsid w:val="009A0C12"/>
    <w:rsid w:val="009A12B4"/>
    <w:rsid w:val="009A1BD0"/>
    <w:rsid w:val="009A200F"/>
    <w:rsid w:val="009A223C"/>
    <w:rsid w:val="009A228B"/>
    <w:rsid w:val="009A2942"/>
    <w:rsid w:val="009A2E2B"/>
    <w:rsid w:val="009A3DFD"/>
    <w:rsid w:val="009A4C2A"/>
    <w:rsid w:val="009A51A2"/>
    <w:rsid w:val="009A552D"/>
    <w:rsid w:val="009A5C50"/>
    <w:rsid w:val="009A5CD0"/>
    <w:rsid w:val="009A6378"/>
    <w:rsid w:val="009A6534"/>
    <w:rsid w:val="009A6A52"/>
    <w:rsid w:val="009A6DA4"/>
    <w:rsid w:val="009A6FDE"/>
    <w:rsid w:val="009A7784"/>
    <w:rsid w:val="009B12A0"/>
    <w:rsid w:val="009B15C8"/>
    <w:rsid w:val="009B1C37"/>
    <w:rsid w:val="009B2953"/>
    <w:rsid w:val="009B3F51"/>
    <w:rsid w:val="009B5673"/>
    <w:rsid w:val="009B56D9"/>
    <w:rsid w:val="009B5861"/>
    <w:rsid w:val="009B6732"/>
    <w:rsid w:val="009B6D0A"/>
    <w:rsid w:val="009B7091"/>
    <w:rsid w:val="009B795D"/>
    <w:rsid w:val="009B7E2A"/>
    <w:rsid w:val="009C0251"/>
    <w:rsid w:val="009C0674"/>
    <w:rsid w:val="009C1877"/>
    <w:rsid w:val="009C196E"/>
    <w:rsid w:val="009C21B5"/>
    <w:rsid w:val="009C22A7"/>
    <w:rsid w:val="009C280C"/>
    <w:rsid w:val="009C3251"/>
    <w:rsid w:val="009C43EF"/>
    <w:rsid w:val="009C5FD9"/>
    <w:rsid w:val="009C65EF"/>
    <w:rsid w:val="009C68A4"/>
    <w:rsid w:val="009C7DC4"/>
    <w:rsid w:val="009D020B"/>
    <w:rsid w:val="009D0546"/>
    <w:rsid w:val="009D08F1"/>
    <w:rsid w:val="009D0A1A"/>
    <w:rsid w:val="009D0FCB"/>
    <w:rsid w:val="009D11E5"/>
    <w:rsid w:val="009D1345"/>
    <w:rsid w:val="009D1372"/>
    <w:rsid w:val="009D14C8"/>
    <w:rsid w:val="009D15D7"/>
    <w:rsid w:val="009D1775"/>
    <w:rsid w:val="009D1F1E"/>
    <w:rsid w:val="009D26B1"/>
    <w:rsid w:val="009D3710"/>
    <w:rsid w:val="009D412D"/>
    <w:rsid w:val="009D421F"/>
    <w:rsid w:val="009D482B"/>
    <w:rsid w:val="009D599D"/>
    <w:rsid w:val="009D6659"/>
    <w:rsid w:val="009D7779"/>
    <w:rsid w:val="009D7C40"/>
    <w:rsid w:val="009D7FC6"/>
    <w:rsid w:val="009E09F6"/>
    <w:rsid w:val="009E0DD9"/>
    <w:rsid w:val="009E16F2"/>
    <w:rsid w:val="009E18F9"/>
    <w:rsid w:val="009E23BF"/>
    <w:rsid w:val="009E29CF"/>
    <w:rsid w:val="009E2EF0"/>
    <w:rsid w:val="009E33D4"/>
    <w:rsid w:val="009E3748"/>
    <w:rsid w:val="009E496F"/>
    <w:rsid w:val="009E5B75"/>
    <w:rsid w:val="009E5E4C"/>
    <w:rsid w:val="009E63E5"/>
    <w:rsid w:val="009E6C8D"/>
    <w:rsid w:val="009E701D"/>
    <w:rsid w:val="009E785C"/>
    <w:rsid w:val="009E7FFE"/>
    <w:rsid w:val="009F0B10"/>
    <w:rsid w:val="009F0F1D"/>
    <w:rsid w:val="009F0FD3"/>
    <w:rsid w:val="009F113E"/>
    <w:rsid w:val="009F14D1"/>
    <w:rsid w:val="009F2545"/>
    <w:rsid w:val="009F269E"/>
    <w:rsid w:val="009F2EDA"/>
    <w:rsid w:val="009F3096"/>
    <w:rsid w:val="009F3E54"/>
    <w:rsid w:val="009F48C7"/>
    <w:rsid w:val="009F5626"/>
    <w:rsid w:val="009F56D9"/>
    <w:rsid w:val="009F5BC8"/>
    <w:rsid w:val="009F61B5"/>
    <w:rsid w:val="009F7051"/>
    <w:rsid w:val="00A00756"/>
    <w:rsid w:val="00A00B09"/>
    <w:rsid w:val="00A01499"/>
    <w:rsid w:val="00A019C1"/>
    <w:rsid w:val="00A022F4"/>
    <w:rsid w:val="00A025B9"/>
    <w:rsid w:val="00A03198"/>
    <w:rsid w:val="00A0362B"/>
    <w:rsid w:val="00A03D58"/>
    <w:rsid w:val="00A03E68"/>
    <w:rsid w:val="00A057EC"/>
    <w:rsid w:val="00A05AB8"/>
    <w:rsid w:val="00A06D44"/>
    <w:rsid w:val="00A07E8F"/>
    <w:rsid w:val="00A10184"/>
    <w:rsid w:val="00A104B8"/>
    <w:rsid w:val="00A114F1"/>
    <w:rsid w:val="00A1321C"/>
    <w:rsid w:val="00A13A4F"/>
    <w:rsid w:val="00A13B81"/>
    <w:rsid w:val="00A145C9"/>
    <w:rsid w:val="00A1614E"/>
    <w:rsid w:val="00A16647"/>
    <w:rsid w:val="00A169DA"/>
    <w:rsid w:val="00A16BD6"/>
    <w:rsid w:val="00A16BE1"/>
    <w:rsid w:val="00A17332"/>
    <w:rsid w:val="00A17AE4"/>
    <w:rsid w:val="00A17E56"/>
    <w:rsid w:val="00A20356"/>
    <w:rsid w:val="00A2089B"/>
    <w:rsid w:val="00A20EDE"/>
    <w:rsid w:val="00A2115D"/>
    <w:rsid w:val="00A21228"/>
    <w:rsid w:val="00A2181B"/>
    <w:rsid w:val="00A21939"/>
    <w:rsid w:val="00A219F0"/>
    <w:rsid w:val="00A21DDA"/>
    <w:rsid w:val="00A221A0"/>
    <w:rsid w:val="00A22256"/>
    <w:rsid w:val="00A22E26"/>
    <w:rsid w:val="00A238DC"/>
    <w:rsid w:val="00A25531"/>
    <w:rsid w:val="00A25B56"/>
    <w:rsid w:val="00A26756"/>
    <w:rsid w:val="00A26EFF"/>
    <w:rsid w:val="00A30BFB"/>
    <w:rsid w:val="00A3106B"/>
    <w:rsid w:val="00A3214E"/>
    <w:rsid w:val="00A32566"/>
    <w:rsid w:val="00A328FD"/>
    <w:rsid w:val="00A33BE6"/>
    <w:rsid w:val="00A33DA5"/>
    <w:rsid w:val="00A34331"/>
    <w:rsid w:val="00A34387"/>
    <w:rsid w:val="00A350B9"/>
    <w:rsid w:val="00A358CF"/>
    <w:rsid w:val="00A35B9F"/>
    <w:rsid w:val="00A368F0"/>
    <w:rsid w:val="00A36DDF"/>
    <w:rsid w:val="00A37035"/>
    <w:rsid w:val="00A404F8"/>
    <w:rsid w:val="00A4063B"/>
    <w:rsid w:val="00A4142A"/>
    <w:rsid w:val="00A43E06"/>
    <w:rsid w:val="00A44573"/>
    <w:rsid w:val="00A45264"/>
    <w:rsid w:val="00A45748"/>
    <w:rsid w:val="00A45A55"/>
    <w:rsid w:val="00A45B06"/>
    <w:rsid w:val="00A45C47"/>
    <w:rsid w:val="00A46045"/>
    <w:rsid w:val="00A4649C"/>
    <w:rsid w:val="00A46D14"/>
    <w:rsid w:val="00A47F3F"/>
    <w:rsid w:val="00A50103"/>
    <w:rsid w:val="00A51768"/>
    <w:rsid w:val="00A51994"/>
    <w:rsid w:val="00A51CAA"/>
    <w:rsid w:val="00A52863"/>
    <w:rsid w:val="00A53D2C"/>
    <w:rsid w:val="00A543B3"/>
    <w:rsid w:val="00A55507"/>
    <w:rsid w:val="00A55BC5"/>
    <w:rsid w:val="00A567B1"/>
    <w:rsid w:val="00A567C1"/>
    <w:rsid w:val="00A56D8A"/>
    <w:rsid w:val="00A57085"/>
    <w:rsid w:val="00A576C0"/>
    <w:rsid w:val="00A57726"/>
    <w:rsid w:val="00A578BE"/>
    <w:rsid w:val="00A57998"/>
    <w:rsid w:val="00A604E8"/>
    <w:rsid w:val="00A606FD"/>
    <w:rsid w:val="00A611D9"/>
    <w:rsid w:val="00A618CA"/>
    <w:rsid w:val="00A621BD"/>
    <w:rsid w:val="00A621D4"/>
    <w:rsid w:val="00A62FD0"/>
    <w:rsid w:val="00A63AF0"/>
    <w:rsid w:val="00A64641"/>
    <w:rsid w:val="00A6470D"/>
    <w:rsid w:val="00A64807"/>
    <w:rsid w:val="00A65487"/>
    <w:rsid w:val="00A65AAD"/>
    <w:rsid w:val="00A65C39"/>
    <w:rsid w:val="00A66050"/>
    <w:rsid w:val="00A6698D"/>
    <w:rsid w:val="00A66D15"/>
    <w:rsid w:val="00A67D38"/>
    <w:rsid w:val="00A70BE9"/>
    <w:rsid w:val="00A70D65"/>
    <w:rsid w:val="00A71F47"/>
    <w:rsid w:val="00A722E2"/>
    <w:rsid w:val="00A73F71"/>
    <w:rsid w:val="00A74458"/>
    <w:rsid w:val="00A747F3"/>
    <w:rsid w:val="00A74938"/>
    <w:rsid w:val="00A74F8C"/>
    <w:rsid w:val="00A75D27"/>
    <w:rsid w:val="00A776E0"/>
    <w:rsid w:val="00A77A51"/>
    <w:rsid w:val="00A77AF7"/>
    <w:rsid w:val="00A813D4"/>
    <w:rsid w:val="00A81BF6"/>
    <w:rsid w:val="00A83832"/>
    <w:rsid w:val="00A839B5"/>
    <w:rsid w:val="00A842E9"/>
    <w:rsid w:val="00A8650A"/>
    <w:rsid w:val="00A8688C"/>
    <w:rsid w:val="00A87131"/>
    <w:rsid w:val="00A8745C"/>
    <w:rsid w:val="00A90310"/>
    <w:rsid w:val="00A904ED"/>
    <w:rsid w:val="00A90BFB"/>
    <w:rsid w:val="00A90DA3"/>
    <w:rsid w:val="00A90F51"/>
    <w:rsid w:val="00A911BD"/>
    <w:rsid w:val="00A934E1"/>
    <w:rsid w:val="00A93631"/>
    <w:rsid w:val="00A93D9F"/>
    <w:rsid w:val="00A94254"/>
    <w:rsid w:val="00A948AF"/>
    <w:rsid w:val="00A955AB"/>
    <w:rsid w:val="00A955B0"/>
    <w:rsid w:val="00A960B5"/>
    <w:rsid w:val="00A96E0B"/>
    <w:rsid w:val="00A97CB6"/>
    <w:rsid w:val="00AA01C7"/>
    <w:rsid w:val="00AA0BF7"/>
    <w:rsid w:val="00AA0E35"/>
    <w:rsid w:val="00AA1021"/>
    <w:rsid w:val="00AA17D4"/>
    <w:rsid w:val="00AA19C4"/>
    <w:rsid w:val="00AA1E7E"/>
    <w:rsid w:val="00AA37AB"/>
    <w:rsid w:val="00AA39EF"/>
    <w:rsid w:val="00AA3ED3"/>
    <w:rsid w:val="00AA553C"/>
    <w:rsid w:val="00AA5888"/>
    <w:rsid w:val="00AA6501"/>
    <w:rsid w:val="00AA6F3F"/>
    <w:rsid w:val="00AB0183"/>
    <w:rsid w:val="00AB0692"/>
    <w:rsid w:val="00AB1101"/>
    <w:rsid w:val="00AB11D7"/>
    <w:rsid w:val="00AB15C2"/>
    <w:rsid w:val="00AB172E"/>
    <w:rsid w:val="00AB1A6C"/>
    <w:rsid w:val="00AB2CB6"/>
    <w:rsid w:val="00AB374F"/>
    <w:rsid w:val="00AB3EF3"/>
    <w:rsid w:val="00AB4188"/>
    <w:rsid w:val="00AB4D14"/>
    <w:rsid w:val="00AB5E97"/>
    <w:rsid w:val="00AB5EE9"/>
    <w:rsid w:val="00AB5FDC"/>
    <w:rsid w:val="00AB76A7"/>
    <w:rsid w:val="00AC006E"/>
    <w:rsid w:val="00AC31F6"/>
    <w:rsid w:val="00AC345B"/>
    <w:rsid w:val="00AC3B46"/>
    <w:rsid w:val="00AC6073"/>
    <w:rsid w:val="00AC7CAB"/>
    <w:rsid w:val="00AC7D08"/>
    <w:rsid w:val="00AC7F93"/>
    <w:rsid w:val="00AD0E76"/>
    <w:rsid w:val="00AD1EAC"/>
    <w:rsid w:val="00AD1F79"/>
    <w:rsid w:val="00AD2BFF"/>
    <w:rsid w:val="00AD57CC"/>
    <w:rsid w:val="00AD5E9E"/>
    <w:rsid w:val="00AD660E"/>
    <w:rsid w:val="00AD6663"/>
    <w:rsid w:val="00AD6C0F"/>
    <w:rsid w:val="00AD72BB"/>
    <w:rsid w:val="00AD733A"/>
    <w:rsid w:val="00AD7A35"/>
    <w:rsid w:val="00AD7B66"/>
    <w:rsid w:val="00AD7BE4"/>
    <w:rsid w:val="00AE0033"/>
    <w:rsid w:val="00AE00E8"/>
    <w:rsid w:val="00AE0C06"/>
    <w:rsid w:val="00AE0D13"/>
    <w:rsid w:val="00AE10CF"/>
    <w:rsid w:val="00AE12D2"/>
    <w:rsid w:val="00AE14A0"/>
    <w:rsid w:val="00AE1C4F"/>
    <w:rsid w:val="00AE23A2"/>
    <w:rsid w:val="00AE2832"/>
    <w:rsid w:val="00AE2FEA"/>
    <w:rsid w:val="00AE4039"/>
    <w:rsid w:val="00AE4126"/>
    <w:rsid w:val="00AE4337"/>
    <w:rsid w:val="00AE4412"/>
    <w:rsid w:val="00AE45AD"/>
    <w:rsid w:val="00AE4CD9"/>
    <w:rsid w:val="00AE4F47"/>
    <w:rsid w:val="00AE57F0"/>
    <w:rsid w:val="00AE5A61"/>
    <w:rsid w:val="00AE62E3"/>
    <w:rsid w:val="00AE74C9"/>
    <w:rsid w:val="00AE7958"/>
    <w:rsid w:val="00AF048E"/>
    <w:rsid w:val="00AF0647"/>
    <w:rsid w:val="00AF0FD1"/>
    <w:rsid w:val="00AF113C"/>
    <w:rsid w:val="00AF23C7"/>
    <w:rsid w:val="00AF299D"/>
    <w:rsid w:val="00AF2B2F"/>
    <w:rsid w:val="00AF2DD1"/>
    <w:rsid w:val="00AF30DF"/>
    <w:rsid w:val="00AF3588"/>
    <w:rsid w:val="00AF57CE"/>
    <w:rsid w:val="00AF5854"/>
    <w:rsid w:val="00AF5AAD"/>
    <w:rsid w:val="00AF5C40"/>
    <w:rsid w:val="00AF5DCD"/>
    <w:rsid w:val="00AF6631"/>
    <w:rsid w:val="00AF67DD"/>
    <w:rsid w:val="00AF7607"/>
    <w:rsid w:val="00AF7CB5"/>
    <w:rsid w:val="00B00786"/>
    <w:rsid w:val="00B0169C"/>
    <w:rsid w:val="00B017FC"/>
    <w:rsid w:val="00B01EBA"/>
    <w:rsid w:val="00B025B9"/>
    <w:rsid w:val="00B0331A"/>
    <w:rsid w:val="00B05140"/>
    <w:rsid w:val="00B05651"/>
    <w:rsid w:val="00B05754"/>
    <w:rsid w:val="00B057B3"/>
    <w:rsid w:val="00B057BA"/>
    <w:rsid w:val="00B05E07"/>
    <w:rsid w:val="00B05F4A"/>
    <w:rsid w:val="00B062D3"/>
    <w:rsid w:val="00B101D9"/>
    <w:rsid w:val="00B110AB"/>
    <w:rsid w:val="00B110ED"/>
    <w:rsid w:val="00B112A3"/>
    <w:rsid w:val="00B113C3"/>
    <w:rsid w:val="00B1184E"/>
    <w:rsid w:val="00B119EC"/>
    <w:rsid w:val="00B11A34"/>
    <w:rsid w:val="00B122B4"/>
    <w:rsid w:val="00B125A8"/>
    <w:rsid w:val="00B129FA"/>
    <w:rsid w:val="00B12AB1"/>
    <w:rsid w:val="00B12C34"/>
    <w:rsid w:val="00B1329F"/>
    <w:rsid w:val="00B142F3"/>
    <w:rsid w:val="00B14C26"/>
    <w:rsid w:val="00B1523C"/>
    <w:rsid w:val="00B16249"/>
    <w:rsid w:val="00B16332"/>
    <w:rsid w:val="00B165CD"/>
    <w:rsid w:val="00B173D9"/>
    <w:rsid w:val="00B2022F"/>
    <w:rsid w:val="00B20D1B"/>
    <w:rsid w:val="00B2138B"/>
    <w:rsid w:val="00B2192C"/>
    <w:rsid w:val="00B21E0E"/>
    <w:rsid w:val="00B24D3D"/>
    <w:rsid w:val="00B24DA5"/>
    <w:rsid w:val="00B25A11"/>
    <w:rsid w:val="00B25AF7"/>
    <w:rsid w:val="00B25B95"/>
    <w:rsid w:val="00B270FB"/>
    <w:rsid w:val="00B274CB"/>
    <w:rsid w:val="00B27A7F"/>
    <w:rsid w:val="00B308CE"/>
    <w:rsid w:val="00B30959"/>
    <w:rsid w:val="00B30F73"/>
    <w:rsid w:val="00B31C3C"/>
    <w:rsid w:val="00B31CB4"/>
    <w:rsid w:val="00B32098"/>
    <w:rsid w:val="00B33092"/>
    <w:rsid w:val="00B334AC"/>
    <w:rsid w:val="00B3396D"/>
    <w:rsid w:val="00B33F0B"/>
    <w:rsid w:val="00B342EB"/>
    <w:rsid w:val="00B34C42"/>
    <w:rsid w:val="00B34FAB"/>
    <w:rsid w:val="00B35491"/>
    <w:rsid w:val="00B3559A"/>
    <w:rsid w:val="00B35FF7"/>
    <w:rsid w:val="00B3607A"/>
    <w:rsid w:val="00B36A80"/>
    <w:rsid w:val="00B3773E"/>
    <w:rsid w:val="00B37A1D"/>
    <w:rsid w:val="00B37EEE"/>
    <w:rsid w:val="00B40686"/>
    <w:rsid w:val="00B40B68"/>
    <w:rsid w:val="00B40B9B"/>
    <w:rsid w:val="00B40BAD"/>
    <w:rsid w:val="00B411CF"/>
    <w:rsid w:val="00B41807"/>
    <w:rsid w:val="00B423DC"/>
    <w:rsid w:val="00B42EE0"/>
    <w:rsid w:val="00B43600"/>
    <w:rsid w:val="00B44C23"/>
    <w:rsid w:val="00B454E7"/>
    <w:rsid w:val="00B456C7"/>
    <w:rsid w:val="00B45EB7"/>
    <w:rsid w:val="00B45F12"/>
    <w:rsid w:val="00B45F43"/>
    <w:rsid w:val="00B45FB4"/>
    <w:rsid w:val="00B46165"/>
    <w:rsid w:val="00B466BC"/>
    <w:rsid w:val="00B47977"/>
    <w:rsid w:val="00B47F7D"/>
    <w:rsid w:val="00B50347"/>
    <w:rsid w:val="00B50B02"/>
    <w:rsid w:val="00B50DB8"/>
    <w:rsid w:val="00B515C9"/>
    <w:rsid w:val="00B5162E"/>
    <w:rsid w:val="00B52662"/>
    <w:rsid w:val="00B52A43"/>
    <w:rsid w:val="00B53AA1"/>
    <w:rsid w:val="00B5405C"/>
    <w:rsid w:val="00B540E4"/>
    <w:rsid w:val="00B54278"/>
    <w:rsid w:val="00B553BC"/>
    <w:rsid w:val="00B5553C"/>
    <w:rsid w:val="00B555A2"/>
    <w:rsid w:val="00B556BA"/>
    <w:rsid w:val="00B55C49"/>
    <w:rsid w:val="00B55E06"/>
    <w:rsid w:val="00B56CB3"/>
    <w:rsid w:val="00B6002B"/>
    <w:rsid w:val="00B6084D"/>
    <w:rsid w:val="00B60AED"/>
    <w:rsid w:val="00B60FED"/>
    <w:rsid w:val="00B622CD"/>
    <w:rsid w:val="00B62DF6"/>
    <w:rsid w:val="00B63BAA"/>
    <w:rsid w:val="00B64042"/>
    <w:rsid w:val="00B6421F"/>
    <w:rsid w:val="00B64B5E"/>
    <w:rsid w:val="00B65F0B"/>
    <w:rsid w:val="00B67156"/>
    <w:rsid w:val="00B6733C"/>
    <w:rsid w:val="00B67F02"/>
    <w:rsid w:val="00B67FCE"/>
    <w:rsid w:val="00B70118"/>
    <w:rsid w:val="00B70748"/>
    <w:rsid w:val="00B70E8A"/>
    <w:rsid w:val="00B70F24"/>
    <w:rsid w:val="00B70FD1"/>
    <w:rsid w:val="00B71828"/>
    <w:rsid w:val="00B71D6C"/>
    <w:rsid w:val="00B723B8"/>
    <w:rsid w:val="00B724BB"/>
    <w:rsid w:val="00B736AA"/>
    <w:rsid w:val="00B73A15"/>
    <w:rsid w:val="00B749B8"/>
    <w:rsid w:val="00B74D50"/>
    <w:rsid w:val="00B75A63"/>
    <w:rsid w:val="00B768F0"/>
    <w:rsid w:val="00B773C2"/>
    <w:rsid w:val="00B773F8"/>
    <w:rsid w:val="00B779BC"/>
    <w:rsid w:val="00B77FEA"/>
    <w:rsid w:val="00B8139F"/>
    <w:rsid w:val="00B81C5E"/>
    <w:rsid w:val="00B81E65"/>
    <w:rsid w:val="00B83366"/>
    <w:rsid w:val="00B83E29"/>
    <w:rsid w:val="00B84734"/>
    <w:rsid w:val="00B8530F"/>
    <w:rsid w:val="00B8697F"/>
    <w:rsid w:val="00B871B5"/>
    <w:rsid w:val="00B87465"/>
    <w:rsid w:val="00B90064"/>
    <w:rsid w:val="00B90EC3"/>
    <w:rsid w:val="00B926DA"/>
    <w:rsid w:val="00B92CD6"/>
    <w:rsid w:val="00B9473C"/>
    <w:rsid w:val="00B947C3"/>
    <w:rsid w:val="00B950CB"/>
    <w:rsid w:val="00B95AD7"/>
    <w:rsid w:val="00B9670B"/>
    <w:rsid w:val="00B96D71"/>
    <w:rsid w:val="00B96DBF"/>
    <w:rsid w:val="00B97087"/>
    <w:rsid w:val="00B9799F"/>
    <w:rsid w:val="00BA02CB"/>
    <w:rsid w:val="00BA065C"/>
    <w:rsid w:val="00BA12BE"/>
    <w:rsid w:val="00BA18BF"/>
    <w:rsid w:val="00BA212D"/>
    <w:rsid w:val="00BA3EE2"/>
    <w:rsid w:val="00BA48D3"/>
    <w:rsid w:val="00BA539E"/>
    <w:rsid w:val="00BA5A7F"/>
    <w:rsid w:val="00BA654A"/>
    <w:rsid w:val="00BA70BF"/>
    <w:rsid w:val="00BA7109"/>
    <w:rsid w:val="00BA7366"/>
    <w:rsid w:val="00BA7373"/>
    <w:rsid w:val="00BA7D5B"/>
    <w:rsid w:val="00BA7DE9"/>
    <w:rsid w:val="00BB15D2"/>
    <w:rsid w:val="00BB1766"/>
    <w:rsid w:val="00BB30CF"/>
    <w:rsid w:val="00BB419F"/>
    <w:rsid w:val="00BB4652"/>
    <w:rsid w:val="00BB4D0B"/>
    <w:rsid w:val="00BB5151"/>
    <w:rsid w:val="00BB55F3"/>
    <w:rsid w:val="00BB6207"/>
    <w:rsid w:val="00BB6693"/>
    <w:rsid w:val="00BC039E"/>
    <w:rsid w:val="00BC089D"/>
    <w:rsid w:val="00BC0CDB"/>
    <w:rsid w:val="00BC129D"/>
    <w:rsid w:val="00BC32B2"/>
    <w:rsid w:val="00BC3915"/>
    <w:rsid w:val="00BC4BA3"/>
    <w:rsid w:val="00BC60F8"/>
    <w:rsid w:val="00BC6E8C"/>
    <w:rsid w:val="00BC76C3"/>
    <w:rsid w:val="00BD0835"/>
    <w:rsid w:val="00BD14C2"/>
    <w:rsid w:val="00BD1BEB"/>
    <w:rsid w:val="00BD2514"/>
    <w:rsid w:val="00BD27E2"/>
    <w:rsid w:val="00BD29E2"/>
    <w:rsid w:val="00BD2C62"/>
    <w:rsid w:val="00BD473E"/>
    <w:rsid w:val="00BD5CF9"/>
    <w:rsid w:val="00BD64D8"/>
    <w:rsid w:val="00BD65AE"/>
    <w:rsid w:val="00BD664B"/>
    <w:rsid w:val="00BD7646"/>
    <w:rsid w:val="00BD78DF"/>
    <w:rsid w:val="00BE00B0"/>
    <w:rsid w:val="00BE0DDF"/>
    <w:rsid w:val="00BE2C95"/>
    <w:rsid w:val="00BE4699"/>
    <w:rsid w:val="00BE4879"/>
    <w:rsid w:val="00BE68D9"/>
    <w:rsid w:val="00BE6C65"/>
    <w:rsid w:val="00BF07AB"/>
    <w:rsid w:val="00BF0928"/>
    <w:rsid w:val="00BF0DB4"/>
    <w:rsid w:val="00BF1039"/>
    <w:rsid w:val="00BF1B1D"/>
    <w:rsid w:val="00BF1B5C"/>
    <w:rsid w:val="00BF2043"/>
    <w:rsid w:val="00BF20C3"/>
    <w:rsid w:val="00BF217B"/>
    <w:rsid w:val="00BF2F57"/>
    <w:rsid w:val="00BF3330"/>
    <w:rsid w:val="00BF3464"/>
    <w:rsid w:val="00BF4C9B"/>
    <w:rsid w:val="00BF5299"/>
    <w:rsid w:val="00BF533E"/>
    <w:rsid w:val="00BF5B63"/>
    <w:rsid w:val="00BF646C"/>
    <w:rsid w:val="00BF6E51"/>
    <w:rsid w:val="00BF7449"/>
    <w:rsid w:val="00C00CFB"/>
    <w:rsid w:val="00C00F93"/>
    <w:rsid w:val="00C013D8"/>
    <w:rsid w:val="00C01E81"/>
    <w:rsid w:val="00C032AC"/>
    <w:rsid w:val="00C03E57"/>
    <w:rsid w:val="00C04A3B"/>
    <w:rsid w:val="00C05F06"/>
    <w:rsid w:val="00C06B14"/>
    <w:rsid w:val="00C06B78"/>
    <w:rsid w:val="00C06C78"/>
    <w:rsid w:val="00C06E64"/>
    <w:rsid w:val="00C076FF"/>
    <w:rsid w:val="00C11997"/>
    <w:rsid w:val="00C1313D"/>
    <w:rsid w:val="00C1458D"/>
    <w:rsid w:val="00C14865"/>
    <w:rsid w:val="00C1494A"/>
    <w:rsid w:val="00C14FC4"/>
    <w:rsid w:val="00C15212"/>
    <w:rsid w:val="00C15E45"/>
    <w:rsid w:val="00C16117"/>
    <w:rsid w:val="00C1619A"/>
    <w:rsid w:val="00C16527"/>
    <w:rsid w:val="00C175A5"/>
    <w:rsid w:val="00C21B13"/>
    <w:rsid w:val="00C2223A"/>
    <w:rsid w:val="00C225D4"/>
    <w:rsid w:val="00C22956"/>
    <w:rsid w:val="00C23389"/>
    <w:rsid w:val="00C2410C"/>
    <w:rsid w:val="00C245D3"/>
    <w:rsid w:val="00C24BBE"/>
    <w:rsid w:val="00C24D46"/>
    <w:rsid w:val="00C256E8"/>
    <w:rsid w:val="00C26232"/>
    <w:rsid w:val="00C304B6"/>
    <w:rsid w:val="00C316E2"/>
    <w:rsid w:val="00C32056"/>
    <w:rsid w:val="00C32431"/>
    <w:rsid w:val="00C326C9"/>
    <w:rsid w:val="00C3380A"/>
    <w:rsid w:val="00C33F20"/>
    <w:rsid w:val="00C342D2"/>
    <w:rsid w:val="00C34DCC"/>
    <w:rsid w:val="00C37390"/>
    <w:rsid w:val="00C3756C"/>
    <w:rsid w:val="00C401D4"/>
    <w:rsid w:val="00C4037C"/>
    <w:rsid w:val="00C40559"/>
    <w:rsid w:val="00C40B16"/>
    <w:rsid w:val="00C41119"/>
    <w:rsid w:val="00C4134B"/>
    <w:rsid w:val="00C413F5"/>
    <w:rsid w:val="00C41AC4"/>
    <w:rsid w:val="00C41DAF"/>
    <w:rsid w:val="00C42151"/>
    <w:rsid w:val="00C42F05"/>
    <w:rsid w:val="00C437D9"/>
    <w:rsid w:val="00C43999"/>
    <w:rsid w:val="00C4495A"/>
    <w:rsid w:val="00C452DD"/>
    <w:rsid w:val="00C45C7B"/>
    <w:rsid w:val="00C45D25"/>
    <w:rsid w:val="00C467AC"/>
    <w:rsid w:val="00C47223"/>
    <w:rsid w:val="00C5058E"/>
    <w:rsid w:val="00C51D6C"/>
    <w:rsid w:val="00C54D5B"/>
    <w:rsid w:val="00C55308"/>
    <w:rsid w:val="00C55F29"/>
    <w:rsid w:val="00C5683B"/>
    <w:rsid w:val="00C57CEF"/>
    <w:rsid w:val="00C57E42"/>
    <w:rsid w:val="00C600AF"/>
    <w:rsid w:val="00C607DB"/>
    <w:rsid w:val="00C619D1"/>
    <w:rsid w:val="00C61A72"/>
    <w:rsid w:val="00C62F0E"/>
    <w:rsid w:val="00C63595"/>
    <w:rsid w:val="00C65665"/>
    <w:rsid w:val="00C65AC1"/>
    <w:rsid w:val="00C661D1"/>
    <w:rsid w:val="00C664D2"/>
    <w:rsid w:val="00C701E4"/>
    <w:rsid w:val="00C7190C"/>
    <w:rsid w:val="00C71BBE"/>
    <w:rsid w:val="00C72367"/>
    <w:rsid w:val="00C73AB4"/>
    <w:rsid w:val="00C73C77"/>
    <w:rsid w:val="00C741A5"/>
    <w:rsid w:val="00C74616"/>
    <w:rsid w:val="00C74870"/>
    <w:rsid w:val="00C75134"/>
    <w:rsid w:val="00C76212"/>
    <w:rsid w:val="00C770B1"/>
    <w:rsid w:val="00C80380"/>
    <w:rsid w:val="00C80E46"/>
    <w:rsid w:val="00C81CA6"/>
    <w:rsid w:val="00C820CA"/>
    <w:rsid w:val="00C83094"/>
    <w:rsid w:val="00C832A5"/>
    <w:rsid w:val="00C8387B"/>
    <w:rsid w:val="00C84769"/>
    <w:rsid w:val="00C855C6"/>
    <w:rsid w:val="00C86738"/>
    <w:rsid w:val="00C86C0E"/>
    <w:rsid w:val="00C87CA2"/>
    <w:rsid w:val="00C87F8D"/>
    <w:rsid w:val="00C906B1"/>
    <w:rsid w:val="00C9344F"/>
    <w:rsid w:val="00C938A8"/>
    <w:rsid w:val="00C939D7"/>
    <w:rsid w:val="00C93F98"/>
    <w:rsid w:val="00C95206"/>
    <w:rsid w:val="00C95CF5"/>
    <w:rsid w:val="00C95E4A"/>
    <w:rsid w:val="00C9665D"/>
    <w:rsid w:val="00C9682F"/>
    <w:rsid w:val="00C978F3"/>
    <w:rsid w:val="00CA2361"/>
    <w:rsid w:val="00CA2F4C"/>
    <w:rsid w:val="00CA309E"/>
    <w:rsid w:val="00CA4A00"/>
    <w:rsid w:val="00CA4AD9"/>
    <w:rsid w:val="00CA4C13"/>
    <w:rsid w:val="00CA55A6"/>
    <w:rsid w:val="00CA6690"/>
    <w:rsid w:val="00CA6B14"/>
    <w:rsid w:val="00CA6CC8"/>
    <w:rsid w:val="00CA7511"/>
    <w:rsid w:val="00CA7B75"/>
    <w:rsid w:val="00CA7D13"/>
    <w:rsid w:val="00CB13CC"/>
    <w:rsid w:val="00CB2BD3"/>
    <w:rsid w:val="00CB40C3"/>
    <w:rsid w:val="00CB534C"/>
    <w:rsid w:val="00CB590B"/>
    <w:rsid w:val="00CB5D15"/>
    <w:rsid w:val="00CB61D9"/>
    <w:rsid w:val="00CB62DA"/>
    <w:rsid w:val="00CB654F"/>
    <w:rsid w:val="00CB6579"/>
    <w:rsid w:val="00CB6BCF"/>
    <w:rsid w:val="00CB7080"/>
    <w:rsid w:val="00CB7C87"/>
    <w:rsid w:val="00CC081E"/>
    <w:rsid w:val="00CC086F"/>
    <w:rsid w:val="00CC1A15"/>
    <w:rsid w:val="00CC1F0A"/>
    <w:rsid w:val="00CC3C28"/>
    <w:rsid w:val="00CC41AD"/>
    <w:rsid w:val="00CC48BB"/>
    <w:rsid w:val="00CC56E1"/>
    <w:rsid w:val="00CC5B21"/>
    <w:rsid w:val="00CC5BC1"/>
    <w:rsid w:val="00CC5CF5"/>
    <w:rsid w:val="00CC65AE"/>
    <w:rsid w:val="00CC6D1D"/>
    <w:rsid w:val="00CD135D"/>
    <w:rsid w:val="00CD1424"/>
    <w:rsid w:val="00CD1829"/>
    <w:rsid w:val="00CD2D49"/>
    <w:rsid w:val="00CD311D"/>
    <w:rsid w:val="00CD34D1"/>
    <w:rsid w:val="00CD58FD"/>
    <w:rsid w:val="00CD594C"/>
    <w:rsid w:val="00CD59FC"/>
    <w:rsid w:val="00CD6018"/>
    <w:rsid w:val="00CD6673"/>
    <w:rsid w:val="00CD6CBE"/>
    <w:rsid w:val="00CD7CB8"/>
    <w:rsid w:val="00CD7D37"/>
    <w:rsid w:val="00CE02C9"/>
    <w:rsid w:val="00CE10A5"/>
    <w:rsid w:val="00CE2620"/>
    <w:rsid w:val="00CE2A5E"/>
    <w:rsid w:val="00CE372A"/>
    <w:rsid w:val="00CE387F"/>
    <w:rsid w:val="00CE3C45"/>
    <w:rsid w:val="00CE3FE3"/>
    <w:rsid w:val="00CE44BD"/>
    <w:rsid w:val="00CE4D00"/>
    <w:rsid w:val="00CE6C06"/>
    <w:rsid w:val="00CE6C4F"/>
    <w:rsid w:val="00CE76AF"/>
    <w:rsid w:val="00CF0378"/>
    <w:rsid w:val="00CF075F"/>
    <w:rsid w:val="00CF0B04"/>
    <w:rsid w:val="00CF0D5A"/>
    <w:rsid w:val="00CF0D68"/>
    <w:rsid w:val="00CF0D82"/>
    <w:rsid w:val="00CF175E"/>
    <w:rsid w:val="00CF1BA1"/>
    <w:rsid w:val="00CF2284"/>
    <w:rsid w:val="00CF231A"/>
    <w:rsid w:val="00CF2522"/>
    <w:rsid w:val="00CF3151"/>
    <w:rsid w:val="00CF3215"/>
    <w:rsid w:val="00CF3D60"/>
    <w:rsid w:val="00CF5450"/>
    <w:rsid w:val="00CF57B7"/>
    <w:rsid w:val="00CF5BB2"/>
    <w:rsid w:val="00CF5E66"/>
    <w:rsid w:val="00CF63A8"/>
    <w:rsid w:val="00CF6A63"/>
    <w:rsid w:val="00CF7B7F"/>
    <w:rsid w:val="00CF7D27"/>
    <w:rsid w:val="00D00481"/>
    <w:rsid w:val="00D0057D"/>
    <w:rsid w:val="00D00580"/>
    <w:rsid w:val="00D00864"/>
    <w:rsid w:val="00D01002"/>
    <w:rsid w:val="00D01061"/>
    <w:rsid w:val="00D01916"/>
    <w:rsid w:val="00D02A3E"/>
    <w:rsid w:val="00D03B79"/>
    <w:rsid w:val="00D03F2A"/>
    <w:rsid w:val="00D04E03"/>
    <w:rsid w:val="00D04F72"/>
    <w:rsid w:val="00D055FD"/>
    <w:rsid w:val="00D05B0D"/>
    <w:rsid w:val="00D05C52"/>
    <w:rsid w:val="00D0688A"/>
    <w:rsid w:val="00D0698B"/>
    <w:rsid w:val="00D06CE1"/>
    <w:rsid w:val="00D06ED7"/>
    <w:rsid w:val="00D07079"/>
    <w:rsid w:val="00D07859"/>
    <w:rsid w:val="00D07A39"/>
    <w:rsid w:val="00D07E6A"/>
    <w:rsid w:val="00D1002D"/>
    <w:rsid w:val="00D103DF"/>
    <w:rsid w:val="00D10641"/>
    <w:rsid w:val="00D1066C"/>
    <w:rsid w:val="00D11A6D"/>
    <w:rsid w:val="00D11B47"/>
    <w:rsid w:val="00D11CBE"/>
    <w:rsid w:val="00D1260E"/>
    <w:rsid w:val="00D12B2B"/>
    <w:rsid w:val="00D12B5D"/>
    <w:rsid w:val="00D12D61"/>
    <w:rsid w:val="00D12F96"/>
    <w:rsid w:val="00D13C50"/>
    <w:rsid w:val="00D13CCC"/>
    <w:rsid w:val="00D14855"/>
    <w:rsid w:val="00D14D8B"/>
    <w:rsid w:val="00D16386"/>
    <w:rsid w:val="00D1786B"/>
    <w:rsid w:val="00D17FE5"/>
    <w:rsid w:val="00D20949"/>
    <w:rsid w:val="00D20BA0"/>
    <w:rsid w:val="00D23822"/>
    <w:rsid w:val="00D23FAC"/>
    <w:rsid w:val="00D248BA"/>
    <w:rsid w:val="00D25CAF"/>
    <w:rsid w:val="00D264AA"/>
    <w:rsid w:val="00D27722"/>
    <w:rsid w:val="00D27E1F"/>
    <w:rsid w:val="00D30C93"/>
    <w:rsid w:val="00D30D2D"/>
    <w:rsid w:val="00D31133"/>
    <w:rsid w:val="00D31157"/>
    <w:rsid w:val="00D3308B"/>
    <w:rsid w:val="00D356E6"/>
    <w:rsid w:val="00D361A9"/>
    <w:rsid w:val="00D36935"/>
    <w:rsid w:val="00D3776E"/>
    <w:rsid w:val="00D37F2F"/>
    <w:rsid w:val="00D400A3"/>
    <w:rsid w:val="00D4013E"/>
    <w:rsid w:val="00D406D7"/>
    <w:rsid w:val="00D41037"/>
    <w:rsid w:val="00D418DA"/>
    <w:rsid w:val="00D41B00"/>
    <w:rsid w:val="00D422E8"/>
    <w:rsid w:val="00D4256B"/>
    <w:rsid w:val="00D4310E"/>
    <w:rsid w:val="00D43632"/>
    <w:rsid w:val="00D437A8"/>
    <w:rsid w:val="00D43E20"/>
    <w:rsid w:val="00D43FDB"/>
    <w:rsid w:val="00D44292"/>
    <w:rsid w:val="00D44ADB"/>
    <w:rsid w:val="00D44C0F"/>
    <w:rsid w:val="00D46569"/>
    <w:rsid w:val="00D46B5F"/>
    <w:rsid w:val="00D46C9F"/>
    <w:rsid w:val="00D47A15"/>
    <w:rsid w:val="00D5016B"/>
    <w:rsid w:val="00D5018E"/>
    <w:rsid w:val="00D5029A"/>
    <w:rsid w:val="00D5065C"/>
    <w:rsid w:val="00D50982"/>
    <w:rsid w:val="00D526DB"/>
    <w:rsid w:val="00D52D6B"/>
    <w:rsid w:val="00D52DB8"/>
    <w:rsid w:val="00D53258"/>
    <w:rsid w:val="00D5373C"/>
    <w:rsid w:val="00D546A1"/>
    <w:rsid w:val="00D55336"/>
    <w:rsid w:val="00D55E5C"/>
    <w:rsid w:val="00D55F18"/>
    <w:rsid w:val="00D56DB5"/>
    <w:rsid w:val="00D57154"/>
    <w:rsid w:val="00D578C5"/>
    <w:rsid w:val="00D60118"/>
    <w:rsid w:val="00D604D9"/>
    <w:rsid w:val="00D609C4"/>
    <w:rsid w:val="00D60D80"/>
    <w:rsid w:val="00D60DC7"/>
    <w:rsid w:val="00D6104A"/>
    <w:rsid w:val="00D61492"/>
    <w:rsid w:val="00D621C4"/>
    <w:rsid w:val="00D62A71"/>
    <w:rsid w:val="00D6329F"/>
    <w:rsid w:val="00D63984"/>
    <w:rsid w:val="00D63F57"/>
    <w:rsid w:val="00D6493B"/>
    <w:rsid w:val="00D651E0"/>
    <w:rsid w:val="00D652F1"/>
    <w:rsid w:val="00D65AC8"/>
    <w:rsid w:val="00D65AE8"/>
    <w:rsid w:val="00D6631F"/>
    <w:rsid w:val="00D66392"/>
    <w:rsid w:val="00D66C4F"/>
    <w:rsid w:val="00D6786C"/>
    <w:rsid w:val="00D67B03"/>
    <w:rsid w:val="00D67E65"/>
    <w:rsid w:val="00D700BC"/>
    <w:rsid w:val="00D70548"/>
    <w:rsid w:val="00D70DE3"/>
    <w:rsid w:val="00D716AB"/>
    <w:rsid w:val="00D71B38"/>
    <w:rsid w:val="00D72B3D"/>
    <w:rsid w:val="00D72B44"/>
    <w:rsid w:val="00D730F8"/>
    <w:rsid w:val="00D731F4"/>
    <w:rsid w:val="00D73660"/>
    <w:rsid w:val="00D74750"/>
    <w:rsid w:val="00D75272"/>
    <w:rsid w:val="00D761C7"/>
    <w:rsid w:val="00D762A3"/>
    <w:rsid w:val="00D76947"/>
    <w:rsid w:val="00D76A89"/>
    <w:rsid w:val="00D76D72"/>
    <w:rsid w:val="00D770A0"/>
    <w:rsid w:val="00D77B98"/>
    <w:rsid w:val="00D77D23"/>
    <w:rsid w:val="00D80647"/>
    <w:rsid w:val="00D8312A"/>
    <w:rsid w:val="00D835E2"/>
    <w:rsid w:val="00D8362C"/>
    <w:rsid w:val="00D8394F"/>
    <w:rsid w:val="00D83FAA"/>
    <w:rsid w:val="00D8442E"/>
    <w:rsid w:val="00D8471D"/>
    <w:rsid w:val="00D855C9"/>
    <w:rsid w:val="00D85756"/>
    <w:rsid w:val="00D8735F"/>
    <w:rsid w:val="00D900FF"/>
    <w:rsid w:val="00D91125"/>
    <w:rsid w:val="00D91349"/>
    <w:rsid w:val="00D9161E"/>
    <w:rsid w:val="00D9254C"/>
    <w:rsid w:val="00D92C0A"/>
    <w:rsid w:val="00D93863"/>
    <w:rsid w:val="00D94223"/>
    <w:rsid w:val="00D94814"/>
    <w:rsid w:val="00D95FA9"/>
    <w:rsid w:val="00D963CE"/>
    <w:rsid w:val="00D96885"/>
    <w:rsid w:val="00DA06BD"/>
    <w:rsid w:val="00DA0A2C"/>
    <w:rsid w:val="00DA1672"/>
    <w:rsid w:val="00DA1CF5"/>
    <w:rsid w:val="00DA1D52"/>
    <w:rsid w:val="00DA245D"/>
    <w:rsid w:val="00DA3EE5"/>
    <w:rsid w:val="00DA4501"/>
    <w:rsid w:val="00DA460A"/>
    <w:rsid w:val="00DA4E08"/>
    <w:rsid w:val="00DA532A"/>
    <w:rsid w:val="00DA534C"/>
    <w:rsid w:val="00DA5576"/>
    <w:rsid w:val="00DA55CC"/>
    <w:rsid w:val="00DA5AE6"/>
    <w:rsid w:val="00DA60C2"/>
    <w:rsid w:val="00DA6AA3"/>
    <w:rsid w:val="00DB0017"/>
    <w:rsid w:val="00DB12E1"/>
    <w:rsid w:val="00DB2622"/>
    <w:rsid w:val="00DB27CA"/>
    <w:rsid w:val="00DB2AE8"/>
    <w:rsid w:val="00DB2AEA"/>
    <w:rsid w:val="00DB2FEE"/>
    <w:rsid w:val="00DB3A46"/>
    <w:rsid w:val="00DB4B70"/>
    <w:rsid w:val="00DB4BB0"/>
    <w:rsid w:val="00DB4DC9"/>
    <w:rsid w:val="00DB5C21"/>
    <w:rsid w:val="00DB5C83"/>
    <w:rsid w:val="00DB6003"/>
    <w:rsid w:val="00DB67B4"/>
    <w:rsid w:val="00DB6E10"/>
    <w:rsid w:val="00DB7873"/>
    <w:rsid w:val="00DB7910"/>
    <w:rsid w:val="00DC09B1"/>
    <w:rsid w:val="00DC1B6A"/>
    <w:rsid w:val="00DC1DF4"/>
    <w:rsid w:val="00DC2AD9"/>
    <w:rsid w:val="00DC2B3E"/>
    <w:rsid w:val="00DC2EF8"/>
    <w:rsid w:val="00DC371A"/>
    <w:rsid w:val="00DC375E"/>
    <w:rsid w:val="00DC3A77"/>
    <w:rsid w:val="00DC3E4E"/>
    <w:rsid w:val="00DC42D7"/>
    <w:rsid w:val="00DC5AAE"/>
    <w:rsid w:val="00DC5D93"/>
    <w:rsid w:val="00DC6C4D"/>
    <w:rsid w:val="00DC7230"/>
    <w:rsid w:val="00DC73AB"/>
    <w:rsid w:val="00DC7633"/>
    <w:rsid w:val="00DC7AE5"/>
    <w:rsid w:val="00DC7DE7"/>
    <w:rsid w:val="00DC7FB0"/>
    <w:rsid w:val="00DD0852"/>
    <w:rsid w:val="00DD149E"/>
    <w:rsid w:val="00DD2626"/>
    <w:rsid w:val="00DD3058"/>
    <w:rsid w:val="00DD3090"/>
    <w:rsid w:val="00DD439A"/>
    <w:rsid w:val="00DD44AF"/>
    <w:rsid w:val="00DD52C2"/>
    <w:rsid w:val="00DD5C6A"/>
    <w:rsid w:val="00DD70FC"/>
    <w:rsid w:val="00DD7170"/>
    <w:rsid w:val="00DD7D91"/>
    <w:rsid w:val="00DD7E57"/>
    <w:rsid w:val="00DE0361"/>
    <w:rsid w:val="00DE090E"/>
    <w:rsid w:val="00DE2CD4"/>
    <w:rsid w:val="00DE5C22"/>
    <w:rsid w:val="00DE604A"/>
    <w:rsid w:val="00DE6538"/>
    <w:rsid w:val="00DE6BD3"/>
    <w:rsid w:val="00DF06FB"/>
    <w:rsid w:val="00DF1046"/>
    <w:rsid w:val="00DF1BE9"/>
    <w:rsid w:val="00DF2064"/>
    <w:rsid w:val="00DF2580"/>
    <w:rsid w:val="00DF2793"/>
    <w:rsid w:val="00DF2970"/>
    <w:rsid w:val="00DF29AB"/>
    <w:rsid w:val="00DF3E41"/>
    <w:rsid w:val="00DF49D7"/>
    <w:rsid w:val="00DF53BF"/>
    <w:rsid w:val="00DF579B"/>
    <w:rsid w:val="00DF5885"/>
    <w:rsid w:val="00DF6E91"/>
    <w:rsid w:val="00DF707E"/>
    <w:rsid w:val="00DF71BA"/>
    <w:rsid w:val="00DF7C07"/>
    <w:rsid w:val="00DF7D65"/>
    <w:rsid w:val="00DF7E4A"/>
    <w:rsid w:val="00E00453"/>
    <w:rsid w:val="00E01923"/>
    <w:rsid w:val="00E01A28"/>
    <w:rsid w:val="00E02481"/>
    <w:rsid w:val="00E0372C"/>
    <w:rsid w:val="00E04409"/>
    <w:rsid w:val="00E04B56"/>
    <w:rsid w:val="00E04EE1"/>
    <w:rsid w:val="00E0524E"/>
    <w:rsid w:val="00E0540C"/>
    <w:rsid w:val="00E05719"/>
    <w:rsid w:val="00E05E2D"/>
    <w:rsid w:val="00E06077"/>
    <w:rsid w:val="00E064B3"/>
    <w:rsid w:val="00E06571"/>
    <w:rsid w:val="00E06C03"/>
    <w:rsid w:val="00E06EE2"/>
    <w:rsid w:val="00E07B56"/>
    <w:rsid w:val="00E108CD"/>
    <w:rsid w:val="00E11053"/>
    <w:rsid w:val="00E11478"/>
    <w:rsid w:val="00E13443"/>
    <w:rsid w:val="00E15A1A"/>
    <w:rsid w:val="00E15B04"/>
    <w:rsid w:val="00E1600E"/>
    <w:rsid w:val="00E16809"/>
    <w:rsid w:val="00E1689F"/>
    <w:rsid w:val="00E16EB8"/>
    <w:rsid w:val="00E17D2C"/>
    <w:rsid w:val="00E17EF3"/>
    <w:rsid w:val="00E2158B"/>
    <w:rsid w:val="00E215E5"/>
    <w:rsid w:val="00E22126"/>
    <w:rsid w:val="00E22882"/>
    <w:rsid w:val="00E243CF"/>
    <w:rsid w:val="00E246C4"/>
    <w:rsid w:val="00E24912"/>
    <w:rsid w:val="00E25143"/>
    <w:rsid w:val="00E25C52"/>
    <w:rsid w:val="00E25F35"/>
    <w:rsid w:val="00E2661B"/>
    <w:rsid w:val="00E26E23"/>
    <w:rsid w:val="00E26E2D"/>
    <w:rsid w:val="00E27AC3"/>
    <w:rsid w:val="00E308B8"/>
    <w:rsid w:val="00E30CD4"/>
    <w:rsid w:val="00E317A4"/>
    <w:rsid w:val="00E31933"/>
    <w:rsid w:val="00E31C25"/>
    <w:rsid w:val="00E3324F"/>
    <w:rsid w:val="00E33D89"/>
    <w:rsid w:val="00E343F0"/>
    <w:rsid w:val="00E3514F"/>
    <w:rsid w:val="00E35D59"/>
    <w:rsid w:val="00E3603D"/>
    <w:rsid w:val="00E364C4"/>
    <w:rsid w:val="00E407B4"/>
    <w:rsid w:val="00E413D2"/>
    <w:rsid w:val="00E41A0F"/>
    <w:rsid w:val="00E41AAE"/>
    <w:rsid w:val="00E41B5B"/>
    <w:rsid w:val="00E42441"/>
    <w:rsid w:val="00E42451"/>
    <w:rsid w:val="00E44282"/>
    <w:rsid w:val="00E44315"/>
    <w:rsid w:val="00E444F0"/>
    <w:rsid w:val="00E44757"/>
    <w:rsid w:val="00E44DFF"/>
    <w:rsid w:val="00E45807"/>
    <w:rsid w:val="00E46A7E"/>
    <w:rsid w:val="00E46B26"/>
    <w:rsid w:val="00E47042"/>
    <w:rsid w:val="00E47804"/>
    <w:rsid w:val="00E4789A"/>
    <w:rsid w:val="00E5062C"/>
    <w:rsid w:val="00E51128"/>
    <w:rsid w:val="00E5139C"/>
    <w:rsid w:val="00E52996"/>
    <w:rsid w:val="00E52F96"/>
    <w:rsid w:val="00E5322E"/>
    <w:rsid w:val="00E53A37"/>
    <w:rsid w:val="00E54008"/>
    <w:rsid w:val="00E5504A"/>
    <w:rsid w:val="00E550AA"/>
    <w:rsid w:val="00E5517A"/>
    <w:rsid w:val="00E55181"/>
    <w:rsid w:val="00E55203"/>
    <w:rsid w:val="00E55624"/>
    <w:rsid w:val="00E55CD6"/>
    <w:rsid w:val="00E55FD6"/>
    <w:rsid w:val="00E5610E"/>
    <w:rsid w:val="00E60233"/>
    <w:rsid w:val="00E60593"/>
    <w:rsid w:val="00E609CF"/>
    <w:rsid w:val="00E60B59"/>
    <w:rsid w:val="00E61681"/>
    <w:rsid w:val="00E61A9F"/>
    <w:rsid w:val="00E6280B"/>
    <w:rsid w:val="00E62DD6"/>
    <w:rsid w:val="00E63AAF"/>
    <w:rsid w:val="00E64155"/>
    <w:rsid w:val="00E6473C"/>
    <w:rsid w:val="00E6493E"/>
    <w:rsid w:val="00E64B5E"/>
    <w:rsid w:val="00E6568F"/>
    <w:rsid w:val="00E657C2"/>
    <w:rsid w:val="00E6605C"/>
    <w:rsid w:val="00E664F0"/>
    <w:rsid w:val="00E6676F"/>
    <w:rsid w:val="00E672B1"/>
    <w:rsid w:val="00E6774F"/>
    <w:rsid w:val="00E677D4"/>
    <w:rsid w:val="00E67B15"/>
    <w:rsid w:val="00E71665"/>
    <w:rsid w:val="00E72471"/>
    <w:rsid w:val="00E72BB4"/>
    <w:rsid w:val="00E73AB5"/>
    <w:rsid w:val="00E73DC0"/>
    <w:rsid w:val="00E7402F"/>
    <w:rsid w:val="00E74625"/>
    <w:rsid w:val="00E74CD0"/>
    <w:rsid w:val="00E74EB7"/>
    <w:rsid w:val="00E76612"/>
    <w:rsid w:val="00E76943"/>
    <w:rsid w:val="00E80619"/>
    <w:rsid w:val="00E8319C"/>
    <w:rsid w:val="00E833C5"/>
    <w:rsid w:val="00E83667"/>
    <w:rsid w:val="00E83E71"/>
    <w:rsid w:val="00E845E7"/>
    <w:rsid w:val="00E84F05"/>
    <w:rsid w:val="00E85124"/>
    <w:rsid w:val="00E85375"/>
    <w:rsid w:val="00E85A68"/>
    <w:rsid w:val="00E875C2"/>
    <w:rsid w:val="00E90DD6"/>
    <w:rsid w:val="00E91617"/>
    <w:rsid w:val="00E9461F"/>
    <w:rsid w:val="00E94DA0"/>
    <w:rsid w:val="00E94FD9"/>
    <w:rsid w:val="00E95104"/>
    <w:rsid w:val="00E969B3"/>
    <w:rsid w:val="00E97C30"/>
    <w:rsid w:val="00EA0568"/>
    <w:rsid w:val="00EA0813"/>
    <w:rsid w:val="00EA1FD8"/>
    <w:rsid w:val="00EA2484"/>
    <w:rsid w:val="00EA2C4B"/>
    <w:rsid w:val="00EA2C58"/>
    <w:rsid w:val="00EA3D65"/>
    <w:rsid w:val="00EA3E51"/>
    <w:rsid w:val="00EA4660"/>
    <w:rsid w:val="00EA5196"/>
    <w:rsid w:val="00EA7793"/>
    <w:rsid w:val="00EA79DD"/>
    <w:rsid w:val="00EA7A5C"/>
    <w:rsid w:val="00EA7E15"/>
    <w:rsid w:val="00EB071B"/>
    <w:rsid w:val="00EB0EC2"/>
    <w:rsid w:val="00EB0F47"/>
    <w:rsid w:val="00EB1EB0"/>
    <w:rsid w:val="00EB26B8"/>
    <w:rsid w:val="00EB2909"/>
    <w:rsid w:val="00EB2D1E"/>
    <w:rsid w:val="00EB31D5"/>
    <w:rsid w:val="00EB34AA"/>
    <w:rsid w:val="00EB3E5D"/>
    <w:rsid w:val="00EB452A"/>
    <w:rsid w:val="00EB47A0"/>
    <w:rsid w:val="00EB5880"/>
    <w:rsid w:val="00EB5BBF"/>
    <w:rsid w:val="00EB5C34"/>
    <w:rsid w:val="00EB7711"/>
    <w:rsid w:val="00EC08C7"/>
    <w:rsid w:val="00EC2424"/>
    <w:rsid w:val="00EC26FF"/>
    <w:rsid w:val="00EC364E"/>
    <w:rsid w:val="00EC3BB2"/>
    <w:rsid w:val="00EC4137"/>
    <w:rsid w:val="00EC49E8"/>
    <w:rsid w:val="00EC5C52"/>
    <w:rsid w:val="00EC6361"/>
    <w:rsid w:val="00EC643E"/>
    <w:rsid w:val="00EC7E32"/>
    <w:rsid w:val="00ED0AFA"/>
    <w:rsid w:val="00ED2DA2"/>
    <w:rsid w:val="00ED3F66"/>
    <w:rsid w:val="00ED412B"/>
    <w:rsid w:val="00ED479F"/>
    <w:rsid w:val="00ED4A05"/>
    <w:rsid w:val="00ED4C25"/>
    <w:rsid w:val="00ED62DC"/>
    <w:rsid w:val="00ED63FD"/>
    <w:rsid w:val="00ED6C52"/>
    <w:rsid w:val="00ED7C06"/>
    <w:rsid w:val="00ED7EE9"/>
    <w:rsid w:val="00ED7FDF"/>
    <w:rsid w:val="00EE0647"/>
    <w:rsid w:val="00EE0706"/>
    <w:rsid w:val="00EE0D00"/>
    <w:rsid w:val="00EE0E1E"/>
    <w:rsid w:val="00EE1058"/>
    <w:rsid w:val="00EE1200"/>
    <w:rsid w:val="00EE1295"/>
    <w:rsid w:val="00EE2BA8"/>
    <w:rsid w:val="00EE3939"/>
    <w:rsid w:val="00EE491F"/>
    <w:rsid w:val="00EE4FBF"/>
    <w:rsid w:val="00EE52E3"/>
    <w:rsid w:val="00EE59CC"/>
    <w:rsid w:val="00EE67DD"/>
    <w:rsid w:val="00EE6B00"/>
    <w:rsid w:val="00EE7291"/>
    <w:rsid w:val="00EE7A1D"/>
    <w:rsid w:val="00EF03E4"/>
    <w:rsid w:val="00EF170B"/>
    <w:rsid w:val="00EF2C98"/>
    <w:rsid w:val="00EF3BA4"/>
    <w:rsid w:val="00EF5069"/>
    <w:rsid w:val="00EF5ACA"/>
    <w:rsid w:val="00EF677B"/>
    <w:rsid w:val="00EF67EC"/>
    <w:rsid w:val="00EF7E1A"/>
    <w:rsid w:val="00F00362"/>
    <w:rsid w:val="00F00555"/>
    <w:rsid w:val="00F00815"/>
    <w:rsid w:val="00F00826"/>
    <w:rsid w:val="00F00E89"/>
    <w:rsid w:val="00F0114D"/>
    <w:rsid w:val="00F01C09"/>
    <w:rsid w:val="00F01F5D"/>
    <w:rsid w:val="00F021F9"/>
    <w:rsid w:val="00F02348"/>
    <w:rsid w:val="00F02E44"/>
    <w:rsid w:val="00F02F18"/>
    <w:rsid w:val="00F031BD"/>
    <w:rsid w:val="00F04D28"/>
    <w:rsid w:val="00F05FE8"/>
    <w:rsid w:val="00F06320"/>
    <w:rsid w:val="00F0730D"/>
    <w:rsid w:val="00F07FA4"/>
    <w:rsid w:val="00F10CDD"/>
    <w:rsid w:val="00F10DC6"/>
    <w:rsid w:val="00F11CA6"/>
    <w:rsid w:val="00F11E1B"/>
    <w:rsid w:val="00F13FA7"/>
    <w:rsid w:val="00F14E2C"/>
    <w:rsid w:val="00F15A5F"/>
    <w:rsid w:val="00F15C7D"/>
    <w:rsid w:val="00F15D60"/>
    <w:rsid w:val="00F176EC"/>
    <w:rsid w:val="00F20522"/>
    <w:rsid w:val="00F20A1E"/>
    <w:rsid w:val="00F21881"/>
    <w:rsid w:val="00F218B3"/>
    <w:rsid w:val="00F21FE8"/>
    <w:rsid w:val="00F22096"/>
    <w:rsid w:val="00F23D45"/>
    <w:rsid w:val="00F246D5"/>
    <w:rsid w:val="00F2625E"/>
    <w:rsid w:val="00F27115"/>
    <w:rsid w:val="00F27CC5"/>
    <w:rsid w:val="00F304B4"/>
    <w:rsid w:val="00F314FD"/>
    <w:rsid w:val="00F339DB"/>
    <w:rsid w:val="00F33B39"/>
    <w:rsid w:val="00F347AE"/>
    <w:rsid w:val="00F34F90"/>
    <w:rsid w:val="00F3538C"/>
    <w:rsid w:val="00F35A8D"/>
    <w:rsid w:val="00F36D3A"/>
    <w:rsid w:val="00F37352"/>
    <w:rsid w:val="00F3738A"/>
    <w:rsid w:val="00F40095"/>
    <w:rsid w:val="00F41ED8"/>
    <w:rsid w:val="00F42300"/>
    <w:rsid w:val="00F42A75"/>
    <w:rsid w:val="00F42FB2"/>
    <w:rsid w:val="00F43863"/>
    <w:rsid w:val="00F4394A"/>
    <w:rsid w:val="00F43AF3"/>
    <w:rsid w:val="00F43C05"/>
    <w:rsid w:val="00F441B4"/>
    <w:rsid w:val="00F443B7"/>
    <w:rsid w:val="00F445E3"/>
    <w:rsid w:val="00F45015"/>
    <w:rsid w:val="00F45A83"/>
    <w:rsid w:val="00F45D97"/>
    <w:rsid w:val="00F46EDE"/>
    <w:rsid w:val="00F4751C"/>
    <w:rsid w:val="00F47EBD"/>
    <w:rsid w:val="00F50F08"/>
    <w:rsid w:val="00F50F28"/>
    <w:rsid w:val="00F50F88"/>
    <w:rsid w:val="00F513CE"/>
    <w:rsid w:val="00F51E14"/>
    <w:rsid w:val="00F526D6"/>
    <w:rsid w:val="00F53260"/>
    <w:rsid w:val="00F53586"/>
    <w:rsid w:val="00F540CC"/>
    <w:rsid w:val="00F54D5C"/>
    <w:rsid w:val="00F55554"/>
    <w:rsid w:val="00F55FEB"/>
    <w:rsid w:val="00F561B7"/>
    <w:rsid w:val="00F579C2"/>
    <w:rsid w:val="00F57E0B"/>
    <w:rsid w:val="00F612CE"/>
    <w:rsid w:val="00F62306"/>
    <w:rsid w:val="00F6256C"/>
    <w:rsid w:val="00F62CED"/>
    <w:rsid w:val="00F62D5D"/>
    <w:rsid w:val="00F6358D"/>
    <w:rsid w:val="00F63996"/>
    <w:rsid w:val="00F63A8C"/>
    <w:rsid w:val="00F641B6"/>
    <w:rsid w:val="00F6420C"/>
    <w:rsid w:val="00F65329"/>
    <w:rsid w:val="00F663A1"/>
    <w:rsid w:val="00F66B45"/>
    <w:rsid w:val="00F6760F"/>
    <w:rsid w:val="00F676C7"/>
    <w:rsid w:val="00F67FC5"/>
    <w:rsid w:val="00F67FCE"/>
    <w:rsid w:val="00F70614"/>
    <w:rsid w:val="00F70A1A"/>
    <w:rsid w:val="00F71A1C"/>
    <w:rsid w:val="00F71CE8"/>
    <w:rsid w:val="00F71DB9"/>
    <w:rsid w:val="00F72992"/>
    <w:rsid w:val="00F72A16"/>
    <w:rsid w:val="00F73413"/>
    <w:rsid w:val="00F73492"/>
    <w:rsid w:val="00F73CB8"/>
    <w:rsid w:val="00F73CFE"/>
    <w:rsid w:val="00F7589A"/>
    <w:rsid w:val="00F75ADA"/>
    <w:rsid w:val="00F765F7"/>
    <w:rsid w:val="00F77066"/>
    <w:rsid w:val="00F80EA4"/>
    <w:rsid w:val="00F81445"/>
    <w:rsid w:val="00F818F6"/>
    <w:rsid w:val="00F8202D"/>
    <w:rsid w:val="00F82FD7"/>
    <w:rsid w:val="00F844E0"/>
    <w:rsid w:val="00F84D30"/>
    <w:rsid w:val="00F84DA2"/>
    <w:rsid w:val="00F868B7"/>
    <w:rsid w:val="00F86C75"/>
    <w:rsid w:val="00F87D5C"/>
    <w:rsid w:val="00F90E33"/>
    <w:rsid w:val="00F91BC6"/>
    <w:rsid w:val="00F92819"/>
    <w:rsid w:val="00F9369C"/>
    <w:rsid w:val="00F93D39"/>
    <w:rsid w:val="00F93D8B"/>
    <w:rsid w:val="00F95ACA"/>
    <w:rsid w:val="00F95BA9"/>
    <w:rsid w:val="00F95F66"/>
    <w:rsid w:val="00F968CE"/>
    <w:rsid w:val="00F969AB"/>
    <w:rsid w:val="00F96AD1"/>
    <w:rsid w:val="00F97E64"/>
    <w:rsid w:val="00FA01E2"/>
    <w:rsid w:val="00FA0A7C"/>
    <w:rsid w:val="00FA12A0"/>
    <w:rsid w:val="00FA26B2"/>
    <w:rsid w:val="00FA2A55"/>
    <w:rsid w:val="00FA2F3D"/>
    <w:rsid w:val="00FA39FE"/>
    <w:rsid w:val="00FA3B6B"/>
    <w:rsid w:val="00FA4321"/>
    <w:rsid w:val="00FA4812"/>
    <w:rsid w:val="00FA60D9"/>
    <w:rsid w:val="00FA6C7D"/>
    <w:rsid w:val="00FA78F2"/>
    <w:rsid w:val="00FB0930"/>
    <w:rsid w:val="00FB0A05"/>
    <w:rsid w:val="00FB148C"/>
    <w:rsid w:val="00FB1827"/>
    <w:rsid w:val="00FB18B1"/>
    <w:rsid w:val="00FB1C33"/>
    <w:rsid w:val="00FB2324"/>
    <w:rsid w:val="00FB2FF7"/>
    <w:rsid w:val="00FB301A"/>
    <w:rsid w:val="00FB32E0"/>
    <w:rsid w:val="00FB33A8"/>
    <w:rsid w:val="00FB5238"/>
    <w:rsid w:val="00FB64B8"/>
    <w:rsid w:val="00FB7475"/>
    <w:rsid w:val="00FB793C"/>
    <w:rsid w:val="00FC046E"/>
    <w:rsid w:val="00FC078C"/>
    <w:rsid w:val="00FC2071"/>
    <w:rsid w:val="00FC24AC"/>
    <w:rsid w:val="00FC24F3"/>
    <w:rsid w:val="00FC2749"/>
    <w:rsid w:val="00FC2BD4"/>
    <w:rsid w:val="00FC3317"/>
    <w:rsid w:val="00FC38F9"/>
    <w:rsid w:val="00FC4B0E"/>
    <w:rsid w:val="00FC4ED7"/>
    <w:rsid w:val="00FC5206"/>
    <w:rsid w:val="00FC55BD"/>
    <w:rsid w:val="00FC5EF7"/>
    <w:rsid w:val="00FC654D"/>
    <w:rsid w:val="00FC7451"/>
    <w:rsid w:val="00FC7538"/>
    <w:rsid w:val="00FC78E5"/>
    <w:rsid w:val="00FD1252"/>
    <w:rsid w:val="00FD2FAE"/>
    <w:rsid w:val="00FD305C"/>
    <w:rsid w:val="00FD3248"/>
    <w:rsid w:val="00FD342D"/>
    <w:rsid w:val="00FD3A05"/>
    <w:rsid w:val="00FD4548"/>
    <w:rsid w:val="00FD4788"/>
    <w:rsid w:val="00FD4C06"/>
    <w:rsid w:val="00FD50A2"/>
    <w:rsid w:val="00FD5C15"/>
    <w:rsid w:val="00FD5F16"/>
    <w:rsid w:val="00FD5F79"/>
    <w:rsid w:val="00FD7490"/>
    <w:rsid w:val="00FD7ECE"/>
    <w:rsid w:val="00FE0CA5"/>
    <w:rsid w:val="00FE10AB"/>
    <w:rsid w:val="00FE1F3B"/>
    <w:rsid w:val="00FE2770"/>
    <w:rsid w:val="00FE29C0"/>
    <w:rsid w:val="00FE2B0F"/>
    <w:rsid w:val="00FE2F9E"/>
    <w:rsid w:val="00FE35C1"/>
    <w:rsid w:val="00FE3F24"/>
    <w:rsid w:val="00FE4DD6"/>
    <w:rsid w:val="00FE4E71"/>
    <w:rsid w:val="00FE5442"/>
    <w:rsid w:val="00FE5907"/>
    <w:rsid w:val="00FE6597"/>
    <w:rsid w:val="00FE6FC8"/>
    <w:rsid w:val="00FE741A"/>
    <w:rsid w:val="00FE78A7"/>
    <w:rsid w:val="00FF0C90"/>
    <w:rsid w:val="00FF0DDD"/>
    <w:rsid w:val="00FF0EFB"/>
    <w:rsid w:val="00FF1060"/>
    <w:rsid w:val="00FF1070"/>
    <w:rsid w:val="00FF168D"/>
    <w:rsid w:val="00FF2575"/>
    <w:rsid w:val="00FF3837"/>
    <w:rsid w:val="00FF3B4E"/>
    <w:rsid w:val="00FF4031"/>
    <w:rsid w:val="00FF47DB"/>
    <w:rsid w:val="00FF4FC4"/>
    <w:rsid w:val="00FF56D2"/>
    <w:rsid w:val="00FF59D4"/>
    <w:rsid w:val="00FF6D61"/>
    <w:rsid w:val="00FF6E1B"/>
    <w:rsid w:val="00FF6F7B"/>
    <w:rsid w:val="00FF744D"/>
    <w:rsid w:val="00FF7AFB"/>
    <w:rsid w:val="014869DA"/>
    <w:rsid w:val="01986523"/>
    <w:rsid w:val="039830F1"/>
    <w:rsid w:val="06432422"/>
    <w:rsid w:val="16D5069F"/>
    <w:rsid w:val="18303CBB"/>
    <w:rsid w:val="1A1A4AE0"/>
    <w:rsid w:val="1F47475D"/>
    <w:rsid w:val="200F3C30"/>
    <w:rsid w:val="241657FE"/>
    <w:rsid w:val="24A97F5C"/>
    <w:rsid w:val="25AC0ECD"/>
    <w:rsid w:val="2C2E4353"/>
    <w:rsid w:val="2E4F3C18"/>
    <w:rsid w:val="2FEA05A5"/>
    <w:rsid w:val="32204698"/>
    <w:rsid w:val="325F7FFE"/>
    <w:rsid w:val="34661D4F"/>
    <w:rsid w:val="3C046DDB"/>
    <w:rsid w:val="3EAE2691"/>
    <w:rsid w:val="4D25749E"/>
    <w:rsid w:val="4E046B0C"/>
    <w:rsid w:val="56C649F8"/>
    <w:rsid w:val="5DC333E0"/>
    <w:rsid w:val="5F2C64C3"/>
    <w:rsid w:val="63764F08"/>
    <w:rsid w:val="638D24E1"/>
    <w:rsid w:val="677C4CD5"/>
    <w:rsid w:val="690E1BE8"/>
    <w:rsid w:val="6BEE421F"/>
    <w:rsid w:val="6EA74CBD"/>
    <w:rsid w:val="71180999"/>
    <w:rsid w:val="79144F31"/>
    <w:rsid w:val="79D31AEC"/>
    <w:rsid w:val="7A9905B0"/>
    <w:rsid w:val="7F7726AD"/>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CEA1"/>
  <w15:docId w15:val="{DA212C49-4FE3-4969-AAF3-57809733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nhideWhenUsed="1" w:qFormat="1"/>
    <w:lsdException w:name="header" w:unhideWhenUsed="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nhideWhenUsed="1" w:qFormat="1"/>
    <w:lsdException w:name="Body Text Indent 2" w:semiHidden="1" w:unhideWhenUsed="1" w:qFormat="1"/>
    <w:lsdException w:name="Body Text Indent 3" w:semiHidden="1" w:unhideWhenUsed="1"/>
    <w:lsdException w:name="Block Text" w:uiPriority="0"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5B3"/>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after="0" w:line="240" w:lineRule="auto"/>
      <w:outlineLvl w:val="0"/>
    </w:pPr>
    <w:rPr>
      <w:rFonts w:ascii="Times New Roman" w:eastAsia="Times New Roman" w:hAnsi="Times New Roman" w:cs="Times New Roman"/>
      <w:b/>
      <w:bCs/>
      <w:sz w:val="20"/>
      <w:szCs w:val="20"/>
      <w:lang w:val="en-US" w:eastAsia="zh-CN"/>
    </w:rPr>
  </w:style>
  <w:style w:type="paragraph" w:styleId="Heading2">
    <w:name w:val="heading 2"/>
    <w:basedOn w:val="Normal"/>
    <w:next w:val="Normal"/>
    <w:link w:val="Heading2Char"/>
    <w:qFormat/>
    <w:pPr>
      <w:keepNext/>
      <w:numPr>
        <w:ilvl w:val="1"/>
        <w:numId w:val="1"/>
      </w:numPr>
      <w:spacing w:after="0" w:line="240" w:lineRule="auto"/>
      <w:jc w:val="center"/>
      <w:outlineLvl w:val="1"/>
    </w:pPr>
    <w:rPr>
      <w:rFonts w:ascii="Times New Roman" w:eastAsia="Times New Roman" w:hAnsi="Times New Roman" w:cs="Times New Roman"/>
      <w:b/>
      <w:bCs/>
      <w:sz w:val="20"/>
      <w:szCs w:val="20"/>
      <w:lang w:val="en-US" w:eastAsia="zh-CN"/>
    </w:rPr>
  </w:style>
  <w:style w:type="paragraph" w:styleId="Heading3">
    <w:name w:val="heading 3"/>
    <w:basedOn w:val="Normal"/>
    <w:next w:val="Normal"/>
    <w:link w:val="Heading3Char"/>
    <w:qFormat/>
    <w:pPr>
      <w:keepNext/>
      <w:numPr>
        <w:ilvl w:val="2"/>
        <w:numId w:val="1"/>
      </w:numPr>
      <w:spacing w:after="0" w:line="240" w:lineRule="auto"/>
      <w:jc w:val="both"/>
      <w:outlineLvl w:val="2"/>
    </w:pPr>
    <w:rPr>
      <w:rFonts w:ascii="Arial" w:eastAsia="Times New Roman" w:hAnsi="Arial" w:cs="Times New Roman"/>
      <w:sz w:val="20"/>
      <w:szCs w:val="20"/>
      <w:u w:val="single"/>
      <w:lang w:val="en-US" w:eastAsia="zh-CN"/>
    </w:rPr>
  </w:style>
  <w:style w:type="paragraph" w:styleId="Heading4">
    <w:name w:val="heading 4"/>
    <w:basedOn w:val="Normal"/>
    <w:next w:val="Normal"/>
    <w:link w:val="Heading4Char"/>
    <w:qFormat/>
    <w:pPr>
      <w:keepNext/>
      <w:numPr>
        <w:ilvl w:val="3"/>
        <w:numId w:val="1"/>
      </w:numPr>
      <w:spacing w:before="240" w:after="60" w:line="240" w:lineRule="auto"/>
      <w:outlineLvl w:val="3"/>
    </w:pPr>
    <w:rPr>
      <w:rFonts w:ascii="Times New Roman" w:eastAsia="Times New Roman" w:hAnsi="Times New Roman" w:cs="Times New Roman"/>
      <w:b/>
      <w:bCs/>
      <w:sz w:val="28"/>
      <w:szCs w:val="28"/>
      <w:lang w:val="en-US" w:eastAsia="zh-CN"/>
    </w:rPr>
  </w:style>
  <w:style w:type="paragraph" w:styleId="Heading5">
    <w:name w:val="heading 5"/>
    <w:basedOn w:val="Normal"/>
    <w:next w:val="Normal"/>
    <w:link w:val="Heading5Char"/>
    <w:qFormat/>
    <w:pPr>
      <w:numPr>
        <w:ilvl w:val="4"/>
        <w:numId w:val="1"/>
      </w:numPr>
      <w:spacing w:before="240" w:after="60" w:line="240" w:lineRule="auto"/>
      <w:outlineLvl w:val="4"/>
    </w:pPr>
    <w:rPr>
      <w:rFonts w:ascii="Times New Roman" w:eastAsia="Times New Roman" w:hAnsi="Times New Roman" w:cs="Times New Roman"/>
      <w:b/>
      <w:bCs/>
      <w:i/>
      <w:iCs/>
      <w:sz w:val="26"/>
      <w:szCs w:val="26"/>
      <w:lang w:val="en-US" w:eastAsia="zh-CN"/>
    </w:rPr>
  </w:style>
  <w:style w:type="paragraph" w:styleId="Heading6">
    <w:name w:val="heading 6"/>
    <w:basedOn w:val="Normal"/>
    <w:next w:val="Normal"/>
    <w:link w:val="Heading6Char"/>
    <w:qFormat/>
    <w:pPr>
      <w:numPr>
        <w:ilvl w:val="5"/>
        <w:numId w:val="1"/>
      </w:numPr>
      <w:spacing w:before="240" w:after="60" w:line="240" w:lineRule="auto"/>
      <w:outlineLvl w:val="5"/>
    </w:pPr>
    <w:rPr>
      <w:rFonts w:ascii="Times New Roman" w:eastAsia="Times New Roman" w:hAnsi="Times New Roman" w:cs="Times New Roman"/>
      <w:b/>
      <w:bCs/>
      <w:sz w:val="20"/>
      <w:szCs w:val="20"/>
      <w:lang w:val="en-US" w:eastAsia="zh-CN"/>
    </w:rPr>
  </w:style>
  <w:style w:type="paragraph" w:styleId="Heading7">
    <w:name w:val="heading 7"/>
    <w:basedOn w:val="Normal"/>
    <w:next w:val="Normal"/>
    <w:link w:val="Heading7Char"/>
    <w:qFormat/>
    <w:pPr>
      <w:numPr>
        <w:ilvl w:val="6"/>
        <w:numId w:val="1"/>
      </w:numPr>
      <w:spacing w:before="240" w:after="60" w:line="240" w:lineRule="auto"/>
      <w:outlineLvl w:val="6"/>
    </w:pPr>
    <w:rPr>
      <w:rFonts w:ascii="Times New Roman" w:eastAsia="Times New Roman" w:hAnsi="Times New Roman" w:cs="Times New Roman"/>
      <w:sz w:val="24"/>
      <w:szCs w:val="24"/>
      <w:lang w:val="en-US" w:eastAsia="zh-CN"/>
    </w:rPr>
  </w:style>
  <w:style w:type="paragraph" w:styleId="Heading8">
    <w:name w:val="heading 8"/>
    <w:basedOn w:val="Normal"/>
    <w:next w:val="Normal"/>
    <w:link w:val="Heading8Char"/>
    <w:qFormat/>
    <w:pPr>
      <w:numPr>
        <w:ilvl w:val="7"/>
        <w:numId w:val="1"/>
      </w:numPr>
      <w:spacing w:before="240" w:after="60" w:line="240" w:lineRule="auto"/>
      <w:outlineLvl w:val="7"/>
    </w:pPr>
    <w:rPr>
      <w:rFonts w:ascii="Times New Roman" w:eastAsia="Times New Roman" w:hAnsi="Times New Roman" w:cs="Times New Roman"/>
      <w:i/>
      <w:iCs/>
      <w:sz w:val="24"/>
      <w:szCs w:val="24"/>
      <w:lang w:val="en-US" w:eastAsia="zh-CN"/>
    </w:rPr>
  </w:style>
  <w:style w:type="paragraph" w:styleId="Heading9">
    <w:name w:val="heading 9"/>
    <w:basedOn w:val="Normal"/>
    <w:next w:val="Normal"/>
    <w:link w:val="Heading9Char"/>
    <w:qFormat/>
    <w:pPr>
      <w:numPr>
        <w:ilvl w:val="8"/>
        <w:numId w:val="1"/>
      </w:numPr>
      <w:spacing w:before="240" w:after="60" w:line="240" w:lineRule="auto"/>
      <w:outlineLvl w:val="8"/>
    </w:pPr>
    <w:rPr>
      <w:rFonts w:ascii="Arial" w:eastAsia="Times New Roman" w:hAnsi="Arial"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eastAsia="Times New Roman" w:hAnsi="Tahoma" w:cs="Tahoma"/>
      <w:sz w:val="16"/>
      <w:szCs w:val="16"/>
      <w:lang w:val="en-US"/>
    </w:rPr>
  </w:style>
  <w:style w:type="paragraph" w:styleId="BlockText">
    <w:name w:val="Block Text"/>
    <w:basedOn w:val="Normal"/>
    <w:qFormat/>
    <w:pPr>
      <w:spacing w:after="0" w:line="240" w:lineRule="auto"/>
      <w:ind w:left="630" w:right="72"/>
      <w:jc w:val="both"/>
    </w:pPr>
    <w:rPr>
      <w:rFonts w:ascii="Arial" w:eastAsia="Times New Roman" w:hAnsi="Arial" w:cs="Arial"/>
      <w:sz w:val="24"/>
      <w:szCs w:val="24"/>
      <w:lang w:val="en-US"/>
    </w:rPr>
  </w:style>
  <w:style w:type="paragraph" w:styleId="BodyText">
    <w:name w:val="Body Text"/>
    <w:basedOn w:val="Normal"/>
    <w:link w:val="BodyTextChar"/>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nhideWhenUsed/>
    <w:qFormat/>
    <w:pPr>
      <w:spacing w:after="120" w:line="48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unhideWhenUsed/>
    <w:qFormat/>
    <w:pPr>
      <w:spacing w:after="120"/>
    </w:pPr>
    <w:rPr>
      <w:rFonts w:ascii="Calibri" w:eastAsia="Times New Roman" w:hAnsi="Calibri" w:cs="Times New Roman"/>
      <w:sz w:val="16"/>
      <w:szCs w:val="16"/>
      <w:lang w:eastAsia="en-PH"/>
    </w:rPr>
  </w:style>
  <w:style w:type="paragraph" w:styleId="BodyTextIndent">
    <w:name w:val="Body Text Indent"/>
    <w:basedOn w:val="Normal"/>
    <w:link w:val="BodyTextIndentChar"/>
    <w:uiPriority w:val="99"/>
    <w:unhideWhenUsed/>
    <w:qFormat/>
    <w:pPr>
      <w:tabs>
        <w:tab w:val="left" w:pos="1170"/>
      </w:tabs>
      <w:spacing w:after="0" w:line="240" w:lineRule="auto"/>
      <w:ind w:left="1440" w:hanging="1440"/>
    </w:pPr>
    <w:rPr>
      <w:rFonts w:ascii="Arial" w:eastAsia="Times New Roman" w:hAnsi="Arial" w:cs="Times New Roman"/>
      <w:szCs w:val="20"/>
      <w:lang w:val="en-US" w:eastAsia="en-PH"/>
    </w:rPr>
  </w:style>
  <w:style w:type="paragraph" w:styleId="BodyTextIndent2">
    <w:name w:val="Body Text Indent 2"/>
    <w:basedOn w:val="Normal"/>
    <w:link w:val="BodyTextIndent2Char"/>
    <w:uiPriority w:val="99"/>
    <w:semiHidden/>
    <w:unhideWhenUsed/>
    <w:qFormat/>
    <w:pPr>
      <w:spacing w:after="120" w:line="480" w:lineRule="auto"/>
      <w:ind w:left="360"/>
    </w:pPr>
    <w:rPr>
      <w:rFonts w:eastAsiaTheme="minorEastAsia"/>
      <w:lang w:val="en-US"/>
    </w:rPr>
  </w:style>
  <w:style w:type="paragraph" w:styleId="Caption">
    <w:name w:val="caption"/>
    <w:basedOn w:val="Normal"/>
    <w:next w:val="Normal"/>
    <w:link w:val="CaptionChar"/>
    <w:semiHidden/>
    <w:unhideWhenUsed/>
    <w:qFormat/>
    <w:pPr>
      <w:spacing w:after="0" w:line="240" w:lineRule="auto"/>
      <w:jc w:val="both"/>
    </w:pPr>
    <w:rPr>
      <w:b/>
      <w:bCs/>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b/>
      <w:b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styleId="FootnoteReference">
    <w:name w:val="footnote reference"/>
    <w:semiHidden/>
    <w:unhideWhenUsed/>
    <w:qFormat/>
  </w:style>
  <w:style w:type="paragraph" w:styleId="FootnoteText">
    <w:name w:val="footnote text"/>
    <w:basedOn w:val="Normal"/>
    <w:link w:val="FootnoteTextChar"/>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qFormat/>
    <w:rPr>
      <w:color w:val="0000FF"/>
      <w:u w:val="single"/>
    </w:rPr>
  </w:style>
  <w:style w:type="paragraph" w:styleId="ListBullet">
    <w:name w:val="List Bullet"/>
    <w:basedOn w:val="Normal"/>
    <w:uiPriority w:val="99"/>
    <w:unhideWhenUsed/>
    <w:qFormat/>
    <w:pPr>
      <w:numPr>
        <w:numId w:val="2"/>
      </w:numPr>
      <w:contextualSpacing/>
    </w:pPr>
    <w:rPr>
      <w:rFonts w:ascii="Calibri" w:eastAsia="Calibri" w:hAnsi="Calibri" w:cs="Times New Roman"/>
      <w:lang w:val="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semiHidden/>
    <w:unhideWhenUsed/>
    <w:qFormat/>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8"/>
      <w:szCs w:val="20"/>
      <w:lang w:val="en-US"/>
    </w:rPr>
  </w:style>
  <w:style w:type="table" w:styleId="LightShading">
    <w:name w:val="Light Shading"/>
    <w:basedOn w:val="TableNormal"/>
    <w:uiPriority w:val="60"/>
    <w:qFormat/>
    <w:rPr>
      <w:rFonts w:eastAsiaTheme="minorEastAsia"/>
      <w:color w:val="000000" w:themeColor="text1" w:themeShade="BF"/>
      <w:lang w:val="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Pr>
      <w:rFonts w:eastAsiaTheme="minorEastAsia"/>
      <w:lang w:val="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qFormat/>
    <w:rPr>
      <w:rFonts w:eastAsiaTheme="minorEastAsia"/>
      <w:lang w:val="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MediumShading1-Accent3">
    <w:name w:val="Medium Shading 1 Accent 3"/>
    <w:basedOn w:val="TableNormal"/>
    <w:uiPriority w:val="63"/>
    <w:qFormat/>
    <w:rPr>
      <w:rFonts w:ascii="Calibri" w:eastAsia="Times New Roman" w:hAnsi="Calibri" w:cs="Times New Roman"/>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ListParagraph">
    <w:name w:val="List Paragraph"/>
    <w:aliases w:val="Resume Title,List Paragraph1,Topic Sentence"/>
    <w:basedOn w:val="Normal"/>
    <w:link w:val="ListParagraphChar"/>
    <w:uiPriority w:val="34"/>
    <w:qFormat/>
    <w:pPr>
      <w:ind w:left="720"/>
      <w:contextualSpacing/>
    </w:pPr>
  </w:style>
  <w:style w:type="character" w:customStyle="1" w:styleId="ListParagraphChar">
    <w:name w:val="List Paragraph Char"/>
    <w:aliases w:val="Resume Title Char,List Paragraph1 Char,Topic Sentence Char"/>
    <w:link w:val="ListParagraph"/>
    <w:uiPriority w:val="34"/>
    <w:qFormat/>
  </w:style>
  <w:style w:type="character" w:customStyle="1" w:styleId="Heading1Char">
    <w:name w:val="Heading 1 Char"/>
    <w:basedOn w:val="DefaultParagraphFont"/>
    <w:link w:val="Heading1"/>
    <w:qFormat/>
    <w:rPr>
      <w:rFonts w:ascii="Times New Roman" w:eastAsia="Times New Roman" w:hAnsi="Times New Roman" w:cs="Times New Roman"/>
      <w:b/>
      <w:bCs/>
      <w:lang w:val="en-US" w:eastAsia="zh-CN"/>
    </w:rPr>
  </w:style>
  <w:style w:type="character" w:customStyle="1" w:styleId="Heading2Char">
    <w:name w:val="Heading 2 Char"/>
    <w:basedOn w:val="DefaultParagraphFont"/>
    <w:link w:val="Heading2"/>
    <w:rPr>
      <w:rFonts w:ascii="Times New Roman" w:eastAsia="Times New Roman" w:hAnsi="Times New Roman" w:cs="Times New Roman"/>
      <w:b/>
      <w:bCs/>
      <w:lang w:val="en-US" w:eastAsia="zh-CN"/>
    </w:rPr>
  </w:style>
  <w:style w:type="character" w:customStyle="1" w:styleId="Heading3Char">
    <w:name w:val="Heading 3 Char"/>
    <w:basedOn w:val="DefaultParagraphFont"/>
    <w:link w:val="Heading3"/>
    <w:qFormat/>
    <w:rPr>
      <w:rFonts w:ascii="Arial" w:eastAsia="Times New Roman" w:hAnsi="Arial" w:cs="Times New Roman"/>
      <w:u w:val="single"/>
      <w:lang w:val="en-US" w:eastAsia="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US" w:eastAsia="zh-CN"/>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val="en-US" w:eastAsia="zh-CN"/>
    </w:rPr>
  </w:style>
  <w:style w:type="character" w:customStyle="1" w:styleId="Heading6Char">
    <w:name w:val="Heading 6 Char"/>
    <w:basedOn w:val="DefaultParagraphFont"/>
    <w:link w:val="Heading6"/>
    <w:qFormat/>
    <w:rPr>
      <w:rFonts w:ascii="Times New Roman" w:eastAsia="Times New Roman" w:hAnsi="Times New Roman" w:cs="Times New Roman"/>
      <w:b/>
      <w:bCs/>
      <w:lang w:val="en-US" w:eastAsia="zh-C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lang w:val="en-US" w:eastAsia="zh-CN"/>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val="en-US" w:eastAsia="zh-CN"/>
    </w:rPr>
  </w:style>
  <w:style w:type="character" w:customStyle="1" w:styleId="Heading9Char">
    <w:name w:val="Heading 9 Char"/>
    <w:basedOn w:val="DefaultParagraphFont"/>
    <w:link w:val="Heading9"/>
    <w:qFormat/>
    <w:rPr>
      <w:rFonts w:ascii="Arial" w:eastAsia="Times New Roman" w:hAnsi="Arial" w:cs="Times New Roman"/>
      <w:lang w:val="en-US"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table" w:customStyle="1" w:styleId="TableGrid1">
    <w:name w:val="Table Grid1"/>
    <w:basedOn w:val="TableNormal"/>
    <w:qFormat/>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 w:type="paragraph" w:customStyle="1" w:styleId="Revision1">
    <w:name w:val="Revision1"/>
    <w:hidden/>
    <w:uiPriority w:val="99"/>
    <w:semiHidden/>
    <w:qFormat/>
    <w:rPr>
      <w:rFonts w:ascii="Times New Roman" w:eastAsia="Times New Roman" w:hAnsi="Times New Roman" w:cs="Times New Roman"/>
      <w:lang w:val="en-US"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4"/>
      <w:szCs w:val="24"/>
      <w:lang w:val="en-US"/>
    </w:rPr>
  </w:style>
  <w:style w:type="character" w:customStyle="1" w:styleId="st1">
    <w:name w:val="st1"/>
    <w:qFormat/>
  </w:style>
  <w:style w:type="paragraph" w:styleId="NoSpacing">
    <w:name w:val="No Spacing"/>
    <w:link w:val="NoSpacingChar"/>
    <w:uiPriority w:val="1"/>
    <w:qFormat/>
    <w:rPr>
      <w:rFonts w:ascii="Calibri" w:eastAsia="Calibri" w:hAnsi="Calibri" w:cs="Times New Roman"/>
      <w:sz w:val="22"/>
      <w:szCs w:val="22"/>
      <w:lang w:eastAsia="en-US"/>
    </w:rPr>
  </w:style>
  <w:style w:type="character" w:customStyle="1" w:styleId="caps">
    <w:name w:val="caps"/>
    <w:qFormat/>
  </w:style>
  <w:style w:type="character" w:customStyle="1" w:styleId="normalbody">
    <w:name w:val="normalbody"/>
    <w:qFormat/>
  </w:style>
  <w:style w:type="character" w:customStyle="1" w:styleId="BodyTextIndentChar">
    <w:name w:val="Body Text Indent Char"/>
    <w:basedOn w:val="DefaultParagraphFont"/>
    <w:link w:val="BodyTextIndent"/>
    <w:uiPriority w:val="99"/>
    <w:qFormat/>
    <w:rPr>
      <w:rFonts w:ascii="Arial" w:eastAsia="Times New Roman" w:hAnsi="Arial" w:cs="Times New Roman"/>
      <w:szCs w:val="20"/>
      <w:lang w:val="en-US" w:eastAsia="en-PH"/>
    </w:rPr>
  </w:style>
  <w:style w:type="paragraph" w:customStyle="1" w:styleId="StandardParagraph">
    <w:name w:val="Standard Paragraph"/>
    <w:qFormat/>
    <w:pPr>
      <w:widowControl w:val="0"/>
      <w:tabs>
        <w:tab w:val="left" w:pos="504"/>
      </w:tabs>
      <w:autoSpaceDE w:val="0"/>
      <w:autoSpaceDN w:val="0"/>
      <w:adjustRightInd w:val="0"/>
      <w:ind w:left="504" w:hanging="504"/>
    </w:pPr>
    <w:rPr>
      <w:rFonts w:ascii="Arial" w:eastAsia="Times New Roman" w:hAnsi="Arial" w:cs="Arial"/>
      <w:b/>
      <w:bCs/>
      <w:i/>
      <w:iCs/>
      <w:sz w:val="24"/>
      <w:szCs w:val="24"/>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en-US"/>
    </w:rPr>
  </w:style>
  <w:style w:type="character" w:customStyle="1" w:styleId="TitleChar">
    <w:name w:val="Title Char"/>
    <w:basedOn w:val="DefaultParagraphFont"/>
    <w:link w:val="Title"/>
    <w:qFormat/>
    <w:rPr>
      <w:rFonts w:ascii="Times New Roman" w:eastAsia="Times New Roman" w:hAnsi="Times New Roman" w:cs="Times New Roman"/>
      <w:b/>
      <w:sz w:val="28"/>
      <w:szCs w:val="20"/>
      <w:lang w:val="en-US"/>
    </w:rPr>
  </w:style>
  <w:style w:type="character" w:customStyle="1" w:styleId="BodyTextIndent2Char">
    <w:name w:val="Body Text Indent 2 Char"/>
    <w:basedOn w:val="DefaultParagraphFont"/>
    <w:link w:val="BodyTextIndent2"/>
    <w:uiPriority w:val="99"/>
    <w:semiHidden/>
    <w:qFormat/>
    <w:rPr>
      <w:rFonts w:eastAsiaTheme="minorEastAsia"/>
      <w:lang w:val="en-US"/>
    </w:rPr>
  </w:style>
  <w:style w:type="table" w:customStyle="1" w:styleId="TableGrid2">
    <w:name w:val="Table Grid2"/>
    <w:basedOn w:val="TableNormal"/>
    <w:uiPriority w:val="59"/>
    <w:qFormat/>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59"/>
    <w:qFormat/>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outlineital">
    <w:name w:val="bold outline ital"/>
    <w:qFormat/>
    <w:pPr>
      <w:widowControl w:val="0"/>
      <w:tabs>
        <w:tab w:val="left" w:pos="1008"/>
      </w:tabs>
      <w:autoSpaceDE w:val="0"/>
      <w:autoSpaceDN w:val="0"/>
      <w:adjustRightInd w:val="0"/>
      <w:spacing w:before="72" w:after="72"/>
      <w:ind w:left="1008" w:hanging="504"/>
    </w:pPr>
    <w:rPr>
      <w:rFonts w:ascii="Arial" w:eastAsia="Times New Roman" w:hAnsi="Arial" w:cs="Arial"/>
      <w:b/>
      <w:bCs/>
      <w:i/>
      <w:iCs/>
      <w:sz w:val="24"/>
      <w:szCs w:val="24"/>
      <w:lang w:val="en-US" w:eastAsia="en-US"/>
    </w:rPr>
  </w:style>
  <w:style w:type="character" w:customStyle="1" w:styleId="apple-converted-space">
    <w:name w:val="apple-converted-space"/>
    <w:basedOn w:val="DefaultParagraphFont"/>
    <w:qFormat/>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paragraph" w:customStyle="1" w:styleId="TableContents">
    <w:name w:val="Table Contents"/>
    <w:basedOn w:val="Normal"/>
    <w:qFormat/>
    <w:pPr>
      <w:suppressLineNumbers/>
      <w:suppressAutoHyphens/>
    </w:pPr>
    <w:rPr>
      <w:rFonts w:ascii="Calibri" w:eastAsia="Calibri" w:hAnsi="Calibri" w:cs="Calibri"/>
      <w:lang w:eastAsia="ar-SA"/>
    </w:rPr>
  </w:style>
  <w:style w:type="paragraph" w:customStyle="1" w:styleId="xl65">
    <w:name w:val="xl65"/>
    <w:basedOn w:val="Normal"/>
    <w:qFormat/>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7">
    <w:name w:val="xl67"/>
    <w:basedOn w:val="Normal"/>
    <w:qFormat/>
    <w:pP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68">
    <w:name w:val="xl68"/>
    <w:basedOn w:val="Normal"/>
    <w:qFormat/>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69">
    <w:name w:val="xl69"/>
    <w:basedOn w:val="Normal"/>
    <w:qFormat/>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70">
    <w:name w:val="xl70"/>
    <w:basedOn w:val="Normal"/>
    <w:qFormat/>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71">
    <w:name w:val="xl71"/>
    <w:basedOn w:val="Normal"/>
    <w:qFormat/>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72">
    <w:name w:val="xl72"/>
    <w:basedOn w:val="Normal"/>
    <w:qFormat/>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3">
    <w:name w:val="xl73"/>
    <w:basedOn w:val="Normal"/>
    <w:qFormat/>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74">
    <w:name w:val="xl74"/>
    <w:basedOn w:val="Normal"/>
    <w:qFormat/>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75">
    <w:name w:val="xl75"/>
    <w:basedOn w:val="Normal"/>
    <w:qFormat/>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76">
    <w:name w:val="xl76"/>
    <w:basedOn w:val="Normal"/>
    <w:qFormat/>
    <w:pP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7">
    <w:name w:val="xl77"/>
    <w:basedOn w:val="Normal"/>
    <w:qFormat/>
    <w:pP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78">
    <w:name w:val="xl78"/>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9">
    <w:name w:val="xl79"/>
    <w:basedOn w:val="Normal"/>
    <w:qFormat/>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0">
    <w:name w:val="xl80"/>
    <w:basedOn w:val="Normal"/>
    <w:qFormat/>
    <w:pP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81">
    <w:name w:val="xl81"/>
    <w:basedOn w:val="Normal"/>
    <w:qFormat/>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82">
    <w:name w:val="xl82"/>
    <w:basedOn w:val="Normal"/>
    <w:qFormat/>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83">
    <w:name w:val="xl83"/>
    <w:basedOn w:val="Normal"/>
    <w:qFormat/>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84">
    <w:name w:val="xl84"/>
    <w:basedOn w:val="Normal"/>
    <w:qFormat/>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85">
    <w:name w:val="xl85"/>
    <w:basedOn w:val="Normal"/>
    <w:qFormat/>
    <w:pPr>
      <w:pBdr>
        <w:bottom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86">
    <w:name w:val="xl86"/>
    <w:basedOn w:val="Normal"/>
    <w:qFormat/>
    <w:pPr>
      <w:pBdr>
        <w:top w:val="single" w:sz="8"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1"/>
    <w:basedOn w:val="Normal"/>
    <w:semiHidden/>
    <w:qFormat/>
    <w:pPr>
      <w:spacing w:after="160" w:line="240" w:lineRule="exact"/>
    </w:pPr>
    <w:rPr>
      <w:rFonts w:ascii="Tahoma" w:eastAsia="Times New Roman" w:hAnsi="Tahoma" w:cs="Tahoma"/>
      <w:sz w:val="20"/>
      <w:szCs w:val="20"/>
      <w:lang w:eastAsia="en-PH"/>
    </w:rPr>
  </w:style>
  <w:style w:type="table" w:customStyle="1" w:styleId="TableGrid5">
    <w:name w:val="Table Grid5"/>
    <w:basedOn w:val="TableNormal"/>
    <w:uiPriority w:val="59"/>
    <w:qFormat/>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qFormat/>
    <w:rPr>
      <w:rFonts w:ascii="Calibri" w:eastAsia="Calibri" w:hAnsi="Calibri" w:cs="Times New Roman"/>
    </w:rPr>
  </w:style>
  <w:style w:type="table" w:customStyle="1" w:styleId="TableGrid7">
    <w:name w:val="Table Grid7"/>
    <w:basedOn w:val="TableNormal"/>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Pr>
      <w:rFonts w:ascii="Times New Roman" w:eastAsia="SimSun" w:hAnsi="Times New Roman" w:cs="Times New Roman"/>
      <w:lang w:val="fil-PH" w:eastAsia="fil-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qFormat/>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TableNormal"/>
    <w:uiPriority w:val="63"/>
    <w:qFormat/>
    <w:rPr>
      <w:rFonts w:ascii="Calibri" w:eastAsia="Times New Roman" w:hAnsi="Calibri" w:cs="Times New Roman"/>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22">
    <w:name w:val="Table Grid22"/>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qFormat/>
    <w:rPr>
      <w:rFonts w:ascii="Calibri" w:eastAsia="Times New Roman" w:hAnsi="Calibri" w:cs="Times New Roman"/>
      <w:color w:val="000000"/>
      <w:lang w:val="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
    <w:name w:val="Light List - Accent 31"/>
    <w:basedOn w:val="TableNormal"/>
    <w:uiPriority w:val="61"/>
    <w:qFormat/>
    <w:rPr>
      <w:rFonts w:ascii="Calibri" w:eastAsia="Times New Roman" w:hAnsi="Calibri" w:cs="Times New Roman"/>
      <w:lang w:val="en-US"/>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qFormat/>
    <w:rPr>
      <w:rFonts w:ascii="Calibri" w:eastAsia="Times New Roman" w:hAnsi="Calibri" w:cs="Times New Roman"/>
      <w:lang w:val="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1">
    <w:name w:val="Table Grid5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MailingInstructions">
    <w:name w:val="Mailing Instructions"/>
    <w:basedOn w:val="Normal"/>
    <w:qFormat/>
    <w:pPr>
      <w:spacing w:after="0" w:line="240" w:lineRule="auto"/>
    </w:pPr>
    <w:rPr>
      <w:rFonts w:ascii="Times New Roman" w:eastAsia="Times New Roman" w:hAnsi="Times New Roman" w:cs="Times New Roman"/>
      <w:sz w:val="24"/>
      <w:szCs w:val="24"/>
      <w:lang w:val="en-US"/>
    </w:rPr>
  </w:style>
  <w:style w:type="character" w:customStyle="1" w:styleId="CaptionChar">
    <w:name w:val="Caption Char"/>
    <w:link w:val="Caption"/>
    <w:semiHidden/>
    <w:qFormat/>
    <w:locked/>
    <w:rPr>
      <w:b/>
      <w:bCs/>
    </w:rPr>
  </w:style>
  <w:style w:type="character" w:customStyle="1" w:styleId="BodyText3Char">
    <w:name w:val="Body Text 3 Char"/>
    <w:basedOn w:val="DefaultParagraphFont"/>
    <w:link w:val="BodyText3"/>
    <w:uiPriority w:val="99"/>
    <w:qFormat/>
    <w:rPr>
      <w:rFonts w:ascii="Calibri" w:eastAsia="Times New Roman" w:hAnsi="Calibri" w:cs="Times New Roman"/>
      <w:sz w:val="16"/>
      <w:szCs w:val="16"/>
      <w:lang w:eastAsia="en-PH"/>
    </w:rPr>
  </w:style>
  <w:style w:type="table" w:customStyle="1" w:styleId="TableGrid111">
    <w:name w:val="Table Grid1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Pr>
      <w:b/>
      <w:bCs/>
      <w:i/>
      <w:iCs/>
      <w:color w:val="4F81BD"/>
    </w:rPr>
  </w:style>
  <w:style w:type="table" w:customStyle="1" w:styleId="TableGrid71">
    <w:name w:val="Table Grid7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spacing w:after="200" w:line="276" w:lineRule="auto"/>
      <w:textAlignment w:val="baseline"/>
    </w:pPr>
    <w:rPr>
      <w:rFonts w:ascii="Calibri" w:eastAsia="Calibri" w:hAnsi="Calibri" w:cs="Calibri"/>
      <w:kern w:val="1"/>
      <w:sz w:val="22"/>
      <w:szCs w:val="22"/>
      <w:lang w:eastAsia="ar-SA"/>
    </w:rPr>
  </w:style>
  <w:style w:type="table" w:customStyle="1" w:styleId="TableGrid161">
    <w:name w:val="Table Grid16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2">
    <w:name w:val="Medium Shading 1 - Accent 32"/>
    <w:basedOn w:val="TableNormal"/>
    <w:uiPriority w:val="63"/>
    <w:qFormat/>
    <w:rPr>
      <w:rFonts w:ascii="Calibri" w:eastAsia="Times New Roman" w:hAnsi="Calibri" w:cs="Times New Roman"/>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26">
    <w:name w:val="Table Grid26"/>
    <w:basedOn w:val="TableNormal"/>
    <w:uiPriority w:val="59"/>
    <w:qFormat/>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qFormat/>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qFormat/>
    <w:rPr>
      <w:rFonts w:eastAsiaTheme="minorEastAsia"/>
      <w:color w:val="000000" w:themeColor="text1" w:themeShade="BF"/>
      <w:lang w:val="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32">
    <w:name w:val="Light List - Accent 32"/>
    <w:basedOn w:val="TableNormal"/>
    <w:uiPriority w:val="61"/>
    <w:qFormat/>
    <w:rPr>
      <w:rFonts w:eastAsiaTheme="minorEastAsia"/>
      <w:lang w:val="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Grid-Accent32">
    <w:name w:val="Light Grid - Accent 32"/>
    <w:basedOn w:val="TableNormal"/>
    <w:uiPriority w:val="62"/>
    <w:qFormat/>
    <w:rPr>
      <w:rFonts w:eastAsiaTheme="minorEastAsia"/>
      <w:lang w:val="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52">
    <w:name w:val="Table Grid52"/>
    <w:basedOn w:val="TableNormal"/>
    <w:uiPriority w:val="59"/>
    <w:qFormat/>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59"/>
    <w:qFormat/>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rPr>
      <w:rFonts w:ascii="Times New Roman" w:eastAsia="SimSun" w:hAnsi="Times New Roman" w:cs="Times New Roman"/>
      <w:lang w:val="fil-PH" w:eastAsia="fil-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qFormat/>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
    <w:name w:val="Medium Shading 1 - Accent 311"/>
    <w:basedOn w:val="TableNormal"/>
    <w:uiPriority w:val="63"/>
    <w:qFormat/>
    <w:rPr>
      <w:rFonts w:ascii="Calibri" w:eastAsia="Times New Roman" w:hAnsi="Calibri" w:cs="Times New Roman"/>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221">
    <w:name w:val="Table Grid22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qFormat/>
    <w:rPr>
      <w:rFonts w:ascii="Calibri" w:eastAsia="Times New Roman" w:hAnsi="Calibri" w:cs="Times New Roman"/>
      <w:color w:val="000000"/>
      <w:lang w:val="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1">
    <w:name w:val="Light List - Accent 311"/>
    <w:basedOn w:val="TableNormal"/>
    <w:uiPriority w:val="61"/>
    <w:qFormat/>
    <w:rPr>
      <w:rFonts w:ascii="Calibri" w:eastAsia="Times New Roman" w:hAnsi="Calibri" w:cs="Times New Roman"/>
      <w:lang w:val="en-US"/>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1">
    <w:name w:val="Light Grid - Accent 311"/>
    <w:basedOn w:val="TableNormal"/>
    <w:uiPriority w:val="62"/>
    <w:qFormat/>
    <w:rPr>
      <w:rFonts w:ascii="Calibri" w:eastAsia="Times New Roman" w:hAnsi="Calibri" w:cs="Times New Roman"/>
      <w:lang w:val="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TableGrid511">
    <w:name w:val="Table Grid5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 31"/>
    <w:basedOn w:val="TableNormal"/>
    <w:semiHidden/>
    <w:unhideWhenUsed/>
    <w:qFormat/>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1111">
    <w:name w:val="Table Grid11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59"/>
    <w:qFormat/>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qFormat/>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qFormat/>
    <w:rPr>
      <w:rFonts w:ascii="Times New Roman" w:eastAsia="Times New Roman" w:hAnsi="Times New Roman" w:cs="Times New Roman"/>
    </w:rPr>
    <w:tblPr/>
  </w:style>
  <w:style w:type="table" w:customStyle="1" w:styleId="Style15">
    <w:name w:val="_Style 15"/>
    <w:basedOn w:val="TableNormal"/>
    <w:qFormat/>
    <w:tblPr>
      <w:tblCellMar>
        <w:left w:w="0" w:type="dxa"/>
        <w:right w:w="0" w:type="dxa"/>
      </w:tblCellMar>
    </w:tblPr>
  </w:style>
  <w:style w:type="table" w:customStyle="1" w:styleId="Style12">
    <w:name w:val="_Style 12"/>
    <w:basedOn w:val="TableNormal"/>
    <w:qFormat/>
    <w:tblPr>
      <w:tblCellMar>
        <w:left w:w="0" w:type="dxa"/>
        <w:right w:w="0" w:type="dxa"/>
      </w:tblCellMar>
    </w:tblPr>
  </w:style>
  <w:style w:type="table" w:customStyle="1" w:styleId="Style28">
    <w:name w:val="_Style 28"/>
    <w:basedOn w:val="TableNormal"/>
    <w:qFormat/>
    <w:tblPr>
      <w:tblCellMar>
        <w:left w:w="0" w:type="dxa"/>
        <w:right w:w="0" w:type="dxa"/>
      </w:tblCellMar>
    </w:tblPr>
  </w:style>
  <w:style w:type="paragraph" w:customStyle="1" w:styleId="Revision2">
    <w:name w:val="Revision2"/>
    <w:hidden/>
    <w:uiPriority w:val="99"/>
    <w:semiHidden/>
    <w:qFormat/>
    <w:rPr>
      <w:sz w:val="22"/>
      <w:szCs w:val="22"/>
      <w:lang w:eastAsia="en-US"/>
    </w:rPr>
  </w:style>
  <w:style w:type="paragraph" w:customStyle="1" w:styleId="Revision3">
    <w:name w:val="Revision3"/>
    <w:hidden/>
    <w:uiPriority w:val="99"/>
    <w:semiHidden/>
    <w:qFormat/>
    <w:rPr>
      <w:sz w:val="22"/>
      <w:szCs w:val="22"/>
      <w:lang w:eastAsia="en-US"/>
    </w:rPr>
  </w:style>
  <w:style w:type="paragraph" w:styleId="Revision">
    <w:name w:val="Revision"/>
    <w:hidden/>
    <w:uiPriority w:val="99"/>
    <w:semiHidden/>
    <w:rsid w:val="00346B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47CF-3470-4E20-8305-999CB5F3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61</Pages>
  <Words>25325</Words>
  <Characters>144359</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Observations and Recommendations</vt:lpstr>
    </vt:vector>
  </TitlesOfParts>
  <Company/>
  <LinksUpToDate>false</LinksUpToDate>
  <CharactersWithSpaces>169346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and Recommendations</dc:title>
  <dc:creator>COA - Land Bank of the Philippines</dc:creator>
  <cp:lastModifiedBy>Evy Rose L. Lacanlale</cp:lastModifiedBy>
  <cp:revision>26</cp:revision>
  <cp:lastPrinted>2023-10-02T02:27:00Z</cp:lastPrinted>
  <dcterms:created xsi:type="dcterms:W3CDTF">2023-10-02T01:55:00Z</dcterms:created>
  <dcterms:modified xsi:type="dcterms:W3CDTF">2023-10-05T02:44:00Z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D6D3E8DA81DB4481BB0A097068E198C0</vt:lpwstr>
  </property>
</Properties>
</file>